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Configuration Baselines (per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February 17,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February 17,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This record documents Hickory County 911's approved secure configuration baselines for each type of system it operates: workstations, servers, network devices, telephony and CAD appliances, and Session Border Controller (SBC) consoles. For each, it records the approved settings (password rules, open and closed ports, logging, lockout) and any deliberate deviation from vendor default. It implements the Change Management Policy, all baseline changes run through that policy, and it is the baseline the Configuration Drift Detection Records check against.</w:t>
      </w:r>
    </w:p>
    <w:p>
      <w:pPr>
        <w:pStyle w:val="Heading2"/>
        <w:spacing w:after="100" w:before="220"/>
      </w:pPr>
      <w:r>
        <w:rPr>
          <w:rFonts w:ascii="Aptos" w:cs="Aptos" w:eastAsia="Aptos" w:hAnsi="Aptos"/>
          <w:b/>
          <w:bCs/>
          <w:color w:val="1B3A5C"/>
          <w:sz w:val="26"/>
          <w:szCs w:val="26"/>
        </w:rPr>
        <w:t>2.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Scope and examples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and administrative workstations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mapping, and back-end servers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Switches, routers, firewalls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Call-handling and CAD appliances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Session Border Controller administration consoles</w:t>
            </w:r>
          </w:p>
        </w:tc>
      </w:tr>
    </w:tbl>
    <w:p>
      <w:pPr>
        <w:pStyle w:val="Heading2"/>
        <w:spacing w:after="100" w:before="220"/>
      </w:pPr>
      <w:r>
        <w:rPr>
          <w:rFonts w:ascii="Aptos" w:cs="Aptos" w:eastAsia="Aptos" w:hAnsi="Aptos"/>
          <w:b/>
          <w:bCs/>
          <w:color w:val="1B3A5C"/>
          <w:sz w:val="26"/>
          <w:szCs w:val="26"/>
        </w:rPr>
        <w:t>3. Approved Baseline Settings (per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Setting</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value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Deviation from vendor default?</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Password policy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14-char minimum, 90-day rotation, lockout after 5 failed tries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Set by county IT on each machine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Open ports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443 and restricted RDP (3389) only; all else closed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RDP kept for county IT support, limited to the IT subnet</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Remote management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SSH from admin VLAN only; Telnet and HTTP disabled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Telnet off from vendor default</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Logging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Local logging on, reviewed by county 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Vendor-managed appliance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Account lockout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Lock after 5 failed logins for 30 minutes; MFA on admin access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Hardened from vendor default</w:t>
            </w:r>
          </w:p>
        </w:tc>
      </w:tr>
    </w:tbl>
    <w:p>
      <w:pPr>
        <w:pStyle w:val="Heading2"/>
        <w:spacing w:after="100" w:before="220"/>
      </w:pPr>
      <w:r>
        <w:rPr>
          <w:rFonts w:ascii="Aptos" w:cs="Aptos" w:eastAsia="Aptos" w:hAnsi="Aptos"/>
          <w:b/>
          <w:bCs/>
          <w:color w:val="1B3A5C"/>
          <w:sz w:val="26"/>
          <w:szCs w:val="26"/>
        </w:rPr>
        <w:t>4. Network Zones and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Zone / segment</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Purpose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Allowed traffic / ACL summary</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Change-control reference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call-handling, dispatch workstations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Inbound from ESInet and CAD vendor only; no general internet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CR-2026-014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Single county-managed switch</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Admin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management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SSH and RDP from the IT subnet 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CR-2026-014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Boundary with the courthouse network</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Guest / other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Non-operational devices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 route to the dispatch VLAN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CR-2026-014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The approved baselines are validated against the as-built state through the Configuration Drift Detection Records, at least annually and after any change, by the the Director. Every change to a baseline runs through the Change Management Policy and is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handful of baselines kept as written documents: one for workstations, one for servers, one for the network and telephony gear. County or vendor IT sets them from vendor hardening guides and the director keeps them current.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§6.2.5, §6.9, §6.10.2, §6.19</w:t>
            </w:r>
          </w:p>
          <w:p>
            <w:pPr>
              <w:spacing w:after="40" w:before="0"/>
            </w:pPr>
            <w:r>
              <w:rPr>
                <w:rFonts w:ascii="Aptos" w:cs="Aptos" w:eastAsia="Aptos" w:hAnsi="Aptos"/>
                <w:b w:val="false"/>
                <w:bCs w:val="false"/>
                <w:i w:val="false"/>
                <w:iCs w:val="false"/>
                <w:sz w:val="24"/>
                <w:szCs w:val="24"/>
              </w:rPr>
              <w:t>NIST SP 800-53 Rev. 5: AC-7, CM-2, CM-6, CM-7, IA-5,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February 17, 2026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System Configuration Baselines (per system type) - EXAMPLE - S</dc:title>
</cp:coreProperties>
</file>

<file path=docProps/custom.xml><?xml version="1.0" encoding="utf-8"?>
<Properties xmlns="http://schemas.openxmlformats.org/officeDocument/2006/custom-properties" xmlns:vt="http://schemas.openxmlformats.org/officeDocument/2006/docPropsVTypes"/>
</file>