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Event Review Meeting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Adopted by Tri-River Regional 911 Center under the authority of 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Dr. Lisa Park, Executive Director</w:t>
            </w:r>
            <w:r>
              <w:rPr>
                <w:rFonts w:ascii="Aptos" w:cs="Aptos" w:eastAsia="Aptos" w:hAnsi="Aptos"/>
                <w:b w:val="0"/>
                <w:i w:val="0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2026-01-20    </w:t>
            </w: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2027-01-20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Information Security Analyst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0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0"/>
                <w:bCs/>
                <w:i w:val="0"/>
                <w:iCs w:val="false"/>
                <w:sz w:val="24"/>
                <w:szCs w:val="24"/>
              </w:rPr>
              <w:t xml:space="preserve">Restricted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Meeting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14:00 to 14:45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Location / medium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Video bridge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Meeting type &amp; cadence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Weekly Security Event Review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Attendees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000"/>
        <w:gridCol w:w="1960"/>
      </w:tblGrid>
      <w:tr>
        <w:trPr>
          <w:cantSplit/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 / Title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Present (Y/N)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Dr. Lisa Park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 (chair)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(on file)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(on file)</w:t>
            </w:r>
          </w:p>
        </w:tc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1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Topics Reviewed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Sources and period reviewed: authentication, network and IDS, endpoint, and SIEM data for the week of 2026-01-13 to 01-19.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Volume and notable events: two medium-severity SIEM alerts on privileged logins, both confirmed legitimate.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Anomalies examined: a spike in DNS queries from a lab host, traced to a misconfigured update agent.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Open items carried from the last review: endpoint agent coverage gap on two remote laptops, being remediated.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Decisions &amp; Priorities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Close the endpoint coverage gap within two weeks.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Tune the SIEM rule that flagged the update-agent DNS spike.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400"/>
        <w:gridCol w:w="1560"/>
        <w:gridCol w:w="1400"/>
      </w:tblGrid>
      <w:tr>
        <w:trPr>
          <w:cantSplit/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 Item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Install the endpoint agent on two remote laptops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IT team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2026-02-03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Tune the SIEM DNS-spike rule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Open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Next Meeting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Next review: 2026-01-27. Focus: endpoint coverage and SIEM tuning.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Retention</w:t>
      </w:r>
    </w:p>
    <w:p>
      <w:pPr>
        <w:spacing w:after="120" w:before="0"/>
      </w:pPr>
      <w:r>
        <w:rPr>
          <w:rFonts w:ascii="Aptos" w:cs="Aptos" w:eastAsia="Aptos" w:hAnsi="Aptos"/>
          <w:b/>
          <w:bCs/>
          <w:i w:val="false"/>
          <w:iCs w:val="false"/>
          <w:sz w:val="24"/>
          <w:szCs w:val="24"/>
        </w:rPr>
        <w:t xml:space="preserve">Retention: 3 years, stored in the records management system, per the Log Retention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NENA-STA-040.2-2024: §5.6.2 (Security Event Logging); §5.6.3 (Information and Event Management); §5.6.4 (Intrusion Monitoring and Detection)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 xml:space="preserve">NIST SP 800-53 Rev. 5: AU-6, AU-7, CA-7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Executive 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Dr. Lisa Park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/s/ Dr. Lisa Park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>2026-01-20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2026-01-20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Information Security Analyst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ptos" w:cs="Aptos" w:eastAsia="Aptos" w:hAnsi="Aptos"/>
        <w:color w:val="595959"/>
        <w:sz w:val="16"/>
        <w:szCs w:val="16"/>
      </w:rPr>
    </w: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triri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Event Review Meeting Records - EXAMPLE - 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