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 Integrity Verification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2026-04-05    </w:t>
            </w:r>
            <w:r>
              <w:rPr>
                <w:rFonts w:ascii="Aptos" w:cs="Aptos" w:eastAsia="Aptos" w:hAnsi="Aptos"/>
                <w:b/>
                <w:bCs/>
                <w:sz w:val="24"/>
                <w:szCs w:val="24"/>
              </w:rPr>
              <w:t xml:space="preserve">Next Review: </w:t>
            </w:r>
            <w:r>
              <w:rPr>
                <w:rFonts w:ascii="Aptos" w:cs="Aptos" w:eastAsia="Aptos" w:hAnsi="Aptos"/>
                <w:sz w:val="24"/>
                <w:szCs w:val="24"/>
              </w:rPr>
              <w:t xml:space="preserve">2027-04-05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keeps audit logs trustworthy for investigations by preventing and detecting tampering or loss. It defines the integrity controls the Agency applies to its logs and how those controls are verified.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and security staff responsible for logging and monitoring.</w:t>
      </w:r>
    </w:p>
    <w:p>
      <w:pPr>
        <w:pStyle w:val="ListParagraph"/>
        <w:numPr>
          <w:ilvl w:val="0"/>
          <w:numId w:val="2"/>
        </w:numPr>
        <w:spacing w:after="60"/>
      </w:pPr>
      <w:r>
        <w:rPr>
          <w:rFonts w:ascii="Aptos" w:cs="Aptos" w:eastAsia="Aptos" w:hAnsi="Aptos"/>
          <w:sz w:val="24"/>
          <w:szCs w:val="24"/>
        </w:rPr>
        <w:t xml:space="preserve">Covers: audit logs, security event logs, and session records for systems in the Logging Policy scope, including Session Border Controllers.</w:t>
      </w:r>
    </w:p>
    <w:p>
      <w:pPr>
        <w:pStyle w:val="ListParagraph"/>
        <w:numPr>
          <w:ilvl w:val="0"/>
          <w:numId w:val="2"/>
        </w:numPr>
        <w:spacing w:after="60"/>
      </w:pPr>
      <w:r>
        <w:rPr>
          <w:rFonts w:ascii="Aptos" w:cs="Aptos" w:eastAsia="Aptos" w:hAnsi="Aptos"/>
          <w:sz w:val="24"/>
          <w:szCs w:val="24"/>
        </w:rPr>
        <w:t xml:space="preserve">Excludes: provider-held logs the Agency cannot control on hosted services.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Logging Policy is in force and log sources are defined.</w:t>
      </w:r>
    </w:p>
    <w:p>
      <w:pPr>
        <w:pStyle w:val="ListParagraph"/>
        <w:numPr>
          <w:ilvl w:val="0"/>
          <w:numId w:val="3"/>
        </w:numPr>
        <w:spacing w:after="60"/>
      </w:pPr>
      <w:r>
        <w:rPr>
          <w:rFonts w:ascii="Aptos" w:cs="Aptos" w:eastAsia="Aptos" w:hAnsi="Aptos"/>
          <w:sz w:val="24"/>
          <w:szCs w:val="24"/>
        </w:rPr>
        <w:t xml:space="preserve">A log store or SIEM with access controls is available.</w:t>
      </w:r>
    </w:p>
    <w:p>
      <w:pPr>
        <w:pStyle w:val="ListParagraph"/>
        <w:numPr>
          <w:ilvl w:val="0"/>
          <w:numId w:val="3"/>
        </w:numPr>
        <w:spacing w:after="60"/>
      </w:pPr>
      <w:r>
        <w:rPr>
          <w:rFonts w:ascii="Aptos" w:cs="Aptos" w:eastAsia="Aptos" w:hAnsi="Aptos"/>
          <w:sz w:val="24"/>
          <w:szCs w:val="24"/>
        </w:rPr>
        <w:t xml:space="preserve">Keys used for log-integrity signing are managed under the Key &amp; Certificate Management Policy.</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Integrity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Store audit logs on write-once or append-only storage so entries cannot be altered or deleted.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 or hash log records (for example HMAC or a hash chain) so tampering is detectable, using keys from the Key &amp; Certificate Management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Restrict log access with least privilege, and separate the operators who generate logs from those who administer the log store.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Forward logs promptly to a central store or SIEM to limit local tampering.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a monthly cadence, verify a sample of log records against their signatures or hashes and confirm the results.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 for log gaps and for disabled or failed logging, and alert on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After any significant change or patch, confirm logging resumed and integrity checks pass.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Response when tampering or a gap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 a failed integrity check or an unexplained gap as a security event and open an incident per the Incident Response Plan.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Preserve the affected logs and follow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finding in the Risk / Finding Register and track remediation to closure.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The operator can show write-once storage or signing in use, a recent successful integrity check, active gap alerting, and an incident record for any failed check.</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Logging Policy; Log Retention Schedule; Log Review Records; Key &amp; Certificate Management Policy; Key Inventory &amp; Custody Records; Evidence Collection &amp; Chain-of-Custody Procedures; Incident Response Plan.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Centralize logs to a store with restricted access, enable hash or signature checks where supported, and alert on logging failures. A shared reviewer verifies a sample monthly.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§5.6, §5.6.2, §5.6.3</w:t>
            </w:r>
          </w:p>
          <w:p>
            <w:pPr>
              <w:spacing w:after="40" w:before="0"/>
            </w:pPr>
            <w:r>
              <w:rPr>
                <w:rFonts w:ascii="Aptos" w:cs="Aptos" w:eastAsia="Aptos" w:hAnsi="Aptos"/>
                <w:b w:val="0"/>
                <w:bCs/>
                <w:i w:val="0"/>
                <w:iCs/>
                <w:sz w:val="24"/>
                <w:szCs w:val="24"/>
              </w:rPr>
              <w:t xml:space="preserve">NIST SP 800-53 Rev. 5: AU-9, AU-9(3), AU-10, SI-7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Log Integrity Verification Procedures - EXAMPLE - M</dc:title>
</cp:coreProperties>
</file>

<file path=docProps/custom.xml><?xml version="1.0" encoding="utf-8"?>
<Properties xmlns="http://schemas.openxmlformats.org/officeDocument/2006/custom-properties" xmlns:vt="http://schemas.openxmlformats.org/officeDocument/2006/docPropsVTypes"/>
</file>