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Controlled Area / Zone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Hickory County 911 under the authority of Tracy Holloway,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map shows the Agency’s controlled areas and security zones, the access level required for each, and where critical systems and equipment sit. It supports decisions about who may enter which space and where to place sensitive equipment.</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jc w:val="center"/>
            </w:pPr>
            <w:r>
              <w:drawing>
                <wp:inline xmlns:a="http://schemas.openxmlformats.org/drawingml/2006/main" xmlns:pic="http://schemas.openxmlformats.org/drawingml/2006/picture">
                  <wp:extent cx="5212080" cy="2653423"/>
                  <wp:docPr id="1" name="Picture 1"/>
                  <wp:cNvGraphicFramePr>
                    <a:graphicFrameLocks noChangeAspect="1"/>
                  </wp:cNvGraphicFramePr>
                  <a:graphic>
                    <a:graphicData uri="http://schemas.openxmlformats.org/drawingml/2006/picture">
                      <pic:pic>
                        <pic:nvPicPr>
                          <pic:cNvPr id="0" name="zone_S.png"/>
                          <pic:cNvPicPr/>
                        </pic:nvPicPr>
                        <pic:blipFill>
                          <a:blip r:embed="rId10"/>
                          <a:stretch>
                            <a:fillRect/>
                          </a:stretch>
                        </pic:blipFill>
                        <pic:spPr>
                          <a:xfrm>
                            <a:off x="0" y="0"/>
                            <a:ext cx="5212080" cy="2653423"/>
                          </a:xfrm>
                          <a:prstGeom prst="rect"/>
                        </pic:spPr>
                      </pic:pic>
                    </a:graphicData>
                  </a:graphic>
                </wp:inline>
              </w:drawing>
            </w:r>
          </w:p>
          <w:p>
            <w:pPr>
              <w:spacing w:after="220"/>
            </w:pPr>
          </w:p>
        </w:tc>
      </w:tr>
    </w:tbl>
    <w:p>
      <w:pPr>
        <w:pStyle w:val="Heading2"/>
        <w:spacing w:after="100" w:before="220"/>
      </w:pPr>
      <w:r>
        <w:rPr>
          <w:rFonts w:ascii="Aptos" w:cs="Aptos" w:eastAsia="Aptos" w:hAnsi="Aptos"/>
          <w:b/>
          <w:bCs/>
          <w:color w:val="1B3A5C"/>
          <w:sz w:val="26"/>
          <w:szCs w:val="26"/>
        </w:rPr>
        <w:t>3. Zone / Area Descriptions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rPr>
        <w:tc>
          <w:tcPr>
            <w:tcW w:type="dxa" w:w="2160"/>
            <w:shd w:val="clear" w:fill="1B3A5C"/>
          </w:tcPr>
          <w:p>
            <w:r>
              <w:rPr>
                <w:rFonts w:ascii="Aptos" w:hAnsi="Aptos"/>
                <w:b/>
                <w:color w:val="FFFFFF"/>
                <w:sz w:val="24"/>
              </w:rPr>
              <w:t>Zone / Area</w:t>
            </w:r>
          </w:p>
        </w:tc>
        <w:tc>
          <w:tcPr>
            <w:tcW w:type="dxa" w:w="3168"/>
            <w:shd w:val="clear" w:fill="1B3A5C"/>
          </w:tcPr>
          <w:p>
            <w:r>
              <w:rPr>
                <w:rFonts w:ascii="Aptos" w:hAnsi="Aptos"/>
                <w:b/>
                <w:color w:val="FFFFFF"/>
                <w:sz w:val="24"/>
              </w:rPr>
              <w:t>Access Level (who may enter / credential)</w:t>
            </w:r>
          </w:p>
        </w:tc>
        <w:tc>
          <w:tcPr>
            <w:tcW w:type="dxa" w:w="2736"/>
            <w:shd w:val="clear" w:fill="1B3A5C"/>
          </w:tcPr>
          <w:p>
            <w:r>
              <w:rPr>
                <w:rFonts w:ascii="Aptos" w:hAnsi="Aptos"/>
                <w:b/>
                <w:color w:val="FFFFFF"/>
                <w:sz w:val="24"/>
              </w:rPr>
              <w:t>Critical Systems Housed</w:t>
            </w:r>
          </w:p>
        </w:tc>
        <w:tc>
          <w:tcPr>
            <w:tcW w:type="dxa" w:w="1728"/>
            <w:shd w:val="clear" w:fill="1B3A5C"/>
          </w:tcPr>
          <w:p>
            <w:r>
              <w:rPr>
                <w:rFonts w:ascii="Aptos" w:hAnsi="Aptos"/>
                <w:b/>
                <w:color w:val="FFFFFF"/>
                <w:sz w:val="24"/>
              </w:rPr>
              <w:t>Owner (Role)</w:t>
            </w:r>
          </w:p>
        </w:tc>
      </w:tr>
      <w:tr>
        <w:trPr>
          <w:cantSplit/>
        </w:trPr>
        <w:tc>
          <w:tcPr>
            <w:tcW w:type="dxa" w:w="2160"/>
          </w:tcPr>
          <w:p>
            <w:r>
              <w:rPr>
                <w:rFonts w:ascii="Aptos" w:hAnsi="Aptos"/>
                <w:b w:val="0"/>
                <w:sz w:val="24"/>
              </w:rPr>
              <w:t>Public lobby (shared with Sheriff’s Office)</w:t>
            </w:r>
          </w:p>
        </w:tc>
        <w:tc>
          <w:tcPr>
            <w:tcW w:type="dxa" w:w="3168"/>
          </w:tcPr>
          <w:p>
            <w:r>
              <w:rPr>
                <w:rFonts w:ascii="Aptos" w:hAnsi="Aptos"/>
                <w:b w:val="0"/>
                <w:sz w:val="24"/>
              </w:rPr>
              <w:t>Public; no credential</w:t>
            </w:r>
          </w:p>
        </w:tc>
        <w:tc>
          <w:tcPr>
            <w:tcW w:type="dxa" w:w="2736"/>
          </w:tcPr>
          <w:p>
            <w:r>
              <w:rPr>
                <w:rFonts w:ascii="Aptos" w:hAnsi="Aptos"/>
                <w:b w:val="0"/>
                <w:sz w:val="24"/>
              </w:rPr>
              <w:t>None</w:t>
            </w:r>
          </w:p>
        </w:tc>
        <w:tc>
          <w:tcPr>
            <w:tcW w:type="dxa" w:w="1728"/>
          </w:tcPr>
          <w:p>
            <w:r>
              <w:rPr>
                <w:rFonts w:ascii="Aptos" w:hAnsi="Aptos"/>
                <w:b w:val="0"/>
                <w:sz w:val="24"/>
              </w:rPr>
              <w:t>Director</w:t>
            </w:r>
          </w:p>
        </w:tc>
      </w:tr>
      <w:tr>
        <w:trPr>
          <w:cantSplit/>
        </w:trPr>
        <w:tc>
          <w:tcPr>
            <w:tcW w:type="dxa" w:w="2160"/>
          </w:tcPr>
          <w:p>
            <w:r>
              <w:rPr>
                <w:rFonts w:ascii="Aptos" w:hAnsi="Aptos"/>
                <w:b w:val="0"/>
                <w:sz w:val="24"/>
              </w:rPr>
              <w:t>Dispatch floor</w:t>
            </w:r>
          </w:p>
        </w:tc>
        <w:tc>
          <w:tcPr>
            <w:tcW w:type="dxa" w:w="3168"/>
          </w:tcPr>
          <w:p>
            <w:r>
              <w:rPr>
                <w:rFonts w:ascii="Aptos" w:hAnsi="Aptos"/>
                <w:b w:val="0"/>
                <w:sz w:val="24"/>
              </w:rPr>
              <w:t>Staff key / badge</w:t>
            </w:r>
          </w:p>
        </w:tc>
        <w:tc>
          <w:tcPr>
            <w:tcW w:type="dxa" w:w="2736"/>
          </w:tcPr>
          <w:p>
            <w:r>
              <w:rPr>
                <w:rFonts w:ascii="Aptos" w:hAnsi="Aptos"/>
                <w:b w:val="0"/>
                <w:sz w:val="24"/>
              </w:rPr>
              <w:t>CAD and call-handling workstations</w:t>
            </w:r>
          </w:p>
        </w:tc>
        <w:tc>
          <w:tcPr>
            <w:tcW w:type="dxa" w:w="1728"/>
          </w:tcPr>
          <w:p>
            <w:r>
              <w:rPr>
                <w:rFonts w:ascii="Aptos" w:hAnsi="Aptos"/>
                <w:b w:val="0"/>
                <w:sz w:val="24"/>
              </w:rPr>
              <w:t>Director</w:t>
            </w:r>
          </w:p>
        </w:tc>
      </w:tr>
      <w:tr>
        <w:trPr>
          <w:cantSplit/>
        </w:trPr>
        <w:tc>
          <w:tcPr>
            <w:tcW w:type="dxa" w:w="2160"/>
          </w:tcPr>
          <w:p>
            <w:r>
              <w:rPr>
                <w:rFonts w:ascii="Aptos" w:hAnsi="Aptos"/>
                <w:b w:val="0"/>
                <w:sz w:val="24"/>
              </w:rPr>
              <w:t>Shared equipment closet</w:t>
            </w:r>
          </w:p>
        </w:tc>
        <w:tc>
          <w:tcPr>
            <w:tcW w:type="dxa" w:w="3168"/>
          </w:tcPr>
          <w:p>
            <w:r>
              <w:rPr>
                <w:rFonts w:ascii="Aptos" w:hAnsi="Aptos"/>
                <w:b w:val="0"/>
                <w:sz w:val="24"/>
              </w:rPr>
              <w:t>Keyed lock; authorized staff only</w:t>
            </w:r>
          </w:p>
        </w:tc>
        <w:tc>
          <w:tcPr>
            <w:tcW w:type="dxa" w:w="2736"/>
          </w:tcPr>
          <w:p>
            <w:r>
              <w:rPr>
                <w:rFonts w:ascii="Aptos" w:hAnsi="Aptos"/>
                <w:b w:val="0"/>
                <w:sz w:val="24"/>
              </w:rPr>
              <w:t>CAD server; network gear</w:t>
            </w:r>
          </w:p>
        </w:tc>
        <w:tc>
          <w:tcPr>
            <w:tcW w:type="dxa" w:w="1728"/>
          </w:tcPr>
          <w:p>
            <w:r>
              <w:rPr>
                <w:rFonts w:ascii="Aptos" w:hAnsi="Aptos"/>
                <w:b w:val="0"/>
                <w:sz w:val="24"/>
              </w:rPr>
              <w:t>Hickory County IT</w:t>
            </w:r>
          </w:p>
        </w:tc>
      </w:tr>
    </w:tbl>
    <w:p>
      <w:pPr>
        <w:pStyle w:val="Heading2"/>
        <w:spacing w:after="100" w:before="220"/>
      </w:pPr>
      <w:r>
        <w:rPr>
          <w:rFonts w:ascii="Aptos" w:cs="Aptos" w:eastAsia="Aptos" w:hAnsi="Aptos"/>
          <w:b/>
          <w:bCs/>
          <w:color w:val="1B3A5C"/>
          <w:sz w:val="26"/>
          <w:szCs w:val="26"/>
        </w:rPr>
        <w:t>4. Zone Relationships &amp; Adjacency</w:t>
      </w:r>
    </w:p>
    <w:p>
      <w:pPr>
        <w:spacing w:after="120" w:before="0"/>
      </w:pPr>
      <w:r>
        <w:rPr>
          <w:rFonts w:ascii="Aptos" w:cs="Aptos" w:eastAsia="Aptos" w:hAnsi="Aptos"/>
          <w:b w:val="0"/>
          <w:bCs w:val="false"/>
          <w:i w:val="false"/>
          <w:iCs w:val="false"/>
          <w:sz w:val="24"/>
          <w:szCs w:val="24"/>
        </w:rPr>
        <w:t>Access steps up from public reception to the staffed dispatch floor to the restricted equipment spaces, and each boundary requires a higher credential. The server room and IDF/MDF closets sit inside the controlled core and are not reachable from public areas. Visitors are escorted past the reception boundary at all times. Authorization for each zone is recorded in the Access Authorization List, and entries and anomalies are reviewed in the Physical Access Review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Hickory County 911 has three zones: a shared public lobby, the dispatch floor, and a keyed equipment closet. A simple labeled floor sketch is enough; the closet is marked as the highest-access zone.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§6.1.3</w:t>
            </w:r>
          </w:p>
          <w:p>
            <w:pPr>
              <w:spacing w:after="40" w:before="0"/>
            </w:pPr>
            <w:r>
              <w:rPr>
                <w:rFonts w:ascii="Aptos" w:hAnsi="Aptos"/>
                <w:b w:val="0"/>
                <w:sz w:val="24"/>
              </w:rPr>
              <w:t>NIST SP 800-53 Rev. 5: PE-2, PE-3, PE-18</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Controlled Area / Zone Map - EXAMPLE - S</dc:title>
</cp:coreProperties>
</file>

<file path=docProps/custom.xml><?xml version="1.0" encoding="utf-8"?>
<Properties xmlns="http://schemas.openxmlformats.org/officeDocument/2006/custom-properties" xmlns:vt="http://schemas.openxmlformats.org/officeDocument/2006/docPropsVTypes"/>
</file>