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ptos" w:cs="Aptos" w:eastAsia="Aptos" w:hAnsi="Aptos"/>
          <w:b/>
          <w:bCs/>
          <w:color w:val="1B3A5C"/>
          <w:sz w:val="40"/>
          <w:szCs w:val="40"/>
        </w:rPr>
        <w:t>Document Handling Standard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sz w:val="24"/>
                <w:szCs w:val="24"/>
                <w:b/>
              </w:rPr>
              <w:t xml:space="preserve">Authority: </w:t>
            </w:r>
            <w:r>
              <w:rPr>
                <w:rFonts w:ascii="Aptos" w:cs="Aptos" w:eastAsia="Aptos" w:hAnsi="Aptos"/>
                <w:sz w:val="24"/>
                <w:szCs w:val="24"/>
              </w:rPr>
              <w:t xml:space="preserve">Adopted by Wabash Valley Communications under the authority of the Director.</w:t>
            </w:r>
          </w:p>
          <w:p>
            <w:pPr>
              <w:spacing w:after="60"/>
            </w:pPr>
            <w:r>
              <w:rPr>
                <w:rFonts w:ascii="Aptos" w:cs="Aptos" w:eastAsia="Aptos" w:hAnsi="Aptos"/>
                <w:sz w:val="24"/>
                <w:szCs w:val="24"/>
                <w:b/>
              </w:rPr>
              <w:t xml:space="preserve">Version: </w:t>
            </w:r>
            <w:r>
              <w:rPr>
                <w:rFonts w:ascii="Aptos" w:cs="Aptos" w:eastAsia="Aptos" w:hAnsi="Aptos"/>
                <w:sz w:val="24"/>
                <w:szCs w:val="24"/>
              </w:rPr>
              <w:t xml:space="preserve">1.0    </w:t>
            </w:r>
            <w:r>
              <w:rPr>
                <w:rFonts w:ascii="Aptos" w:cs="Aptos" w:eastAsia="Aptos" w:hAnsi="Aptos"/>
                <w:sz w:val="24"/>
                <w:szCs w:val="24"/>
                <w:b/>
              </w:rPr>
              <w:t xml:space="preserve">Effective Date: </w:t>
            </w:r>
            <w:r>
              <w:rPr>
                <w:rFonts w:ascii="Aptos" w:cs="Aptos" w:eastAsia="Aptos" w:hAnsi="Aptos"/>
                <w:sz w:val="24"/>
                <w:szCs w:val="24"/>
              </w:rPr>
              <w:t xml:space="preserve">2026-03-01    </w:t>
            </w:r>
            <w:r>
              <w:rPr>
                <w:rFonts w:ascii="Aptos" w:cs="Aptos" w:eastAsia="Aptos" w:hAnsi="Aptos"/>
                <w:sz w:val="24"/>
                <w:szCs w:val="24"/>
                <w:b/>
              </w:rPr>
              <w:t xml:space="preserve">Next Review: </w:t>
            </w:r>
            <w:r>
              <w:rPr>
                <w:rFonts w:ascii="Aptos" w:cs="Aptos" w:eastAsia="Aptos" w:hAnsi="Aptos"/>
                <w:sz w:val="24"/>
                <w:szCs w:val="24"/>
              </w:rPr>
              <w:t xml:space="preserve">2027-03-01</w:t>
            </w:r>
          </w:p>
          <w:p>
            <w:pPr>
              <w:spacing w:after="60"/>
            </w:pPr>
            <w:r>
              <w:rPr>
                <w:rFonts w:ascii="Aptos" w:cs="Aptos" w:eastAsia="Aptos" w:hAnsi="Aptos"/>
                <w:sz w:val="24"/>
                <w:szCs w:val="24"/>
                <w:b/>
              </w:rPr>
              <w:t xml:space="preserve">Owner: </w:t>
            </w:r>
            <w:r>
              <w:rPr>
                <w:rFonts w:ascii="Aptos" w:cs="Aptos" w:eastAsia="Aptos" w:hAnsi="Aptos"/>
                <w:sz w:val="24"/>
                <w:szCs w:val="24"/>
              </w:rPr>
              <w:t xml:space="preserve">Security Coordinator</w:t>
            </w:r>
          </w:p>
          <w:p>
            <w:pPr>
              <w:spacing w:after="20"/>
            </w:pPr>
            <w:r>
              <w:rPr>
                <w:rFonts w:ascii="Aptos" w:cs="Aptos" w:eastAsia="Aptos" w:hAnsi="Aptos"/>
                <w:sz w:val="24"/>
                <w:szCs w:val="24"/>
                <w:b/>
              </w:rPr>
              <w:t xml:space="preserve">Classification: </w:t>
            </w:r>
            <w:r>
              <w:rPr>
                <w:rFonts w:ascii="Aptos" w:cs="Aptos" w:eastAsia="Aptos" w:hAnsi="Aptos"/>
                <w:sz w:val="24"/>
                <w:szCs w:val="24"/>
              </w:rPr>
              <w:t xml:space="preserve">Restricted</w:t>
            </w:r>
          </w:p>
        </w:tc>
      </w:tr>
    </w:tbl>
    <w:p>
      <w:pPr>
        <w:spacing w:after="60"/>
      </w:pPr>
    </w:p>
    <w:p>
      <w:pPr>
        <w:pStyle w:val="Heading2"/>
        <w:spacing w:after="100" w:before="220"/>
      </w:pPr>
      <w:r>
        <w:rPr>
          <w:rFonts w:ascii="Aptos" w:cs="Aptos" w:eastAsia="Aptos" w:hAnsi="Aptos"/>
          <w:b/>
          <w:bCs/>
          <w:color w:val="1B3A5C"/>
          <w:sz w:val="26"/>
          <w:szCs w:val="26"/>
        </w:rPr>
        <w:t xml:space="preserve">1. Purpose</w:t>
      </w:r>
    </w:p>
    <w:p>
      <w:pPr>
        <w:spacing w:after="120" w:before="0"/>
      </w:pPr>
      <w:r>
        <w:rPr>
          <w:rFonts w:ascii="Aptos" w:cs="Aptos" w:eastAsia="Aptos" w:hAnsi="Aptos"/>
          <w:sz w:val="24"/>
          <w:szCs w:val="24"/>
        </w:rPr>
        <w:t>This standard sets how Wabash Valley Communications stores, transmits, transports, and destroys information and media at each data classification, so protection matches sensitivity across the full information lifecycle. It implements the Data Classification Policy.</w:t>
      </w:r>
    </w:p>
    <w:p>
      <w:pPr>
        <w:pStyle w:val="Heading2"/>
        <w:spacing w:after="100" w:before="220"/>
      </w:pPr>
      <w:r>
        <w:rPr>
          <w:rFonts w:ascii="Aptos" w:cs="Aptos" w:eastAsia="Aptos" w:hAnsi="Aptos"/>
          <w:b/>
          <w:bCs/>
          <w:color w:val="1B3A5C"/>
          <w:sz w:val="26"/>
          <w:szCs w:val="26"/>
        </w:rPr>
        <w:t xml:space="preserve">2. Scope</w:t>
      </w:r>
    </w:p>
    <w:p>
      <w:pPr>
        <w:pStyle w:val="ListParagraph"/>
        <w:numPr>
          <w:ilvl w:val="0"/>
          <w:numId w:val="2"/>
        </w:numPr>
        <w:spacing w:after="60"/>
      </w:pPr>
      <w:r>
        <w:rPr>
          <w:rFonts w:ascii="Aptos" w:cs="Aptos" w:eastAsia="Aptos" w:hAnsi="Aptos"/>
          <w:sz w:val="24"/>
          <w:szCs w:val="24"/>
        </w:rPr>
        <w:t xml:space="preserve">Applies to: all Agency personnel and any contractor or vendor who handles Agency information or media.</w:t>
      </w:r>
    </w:p>
    <w:p>
      <w:pPr>
        <w:pStyle w:val="ListParagraph"/>
        <w:numPr>
          <w:ilvl w:val="0"/>
          <w:numId w:val="2"/>
        </w:numPr>
        <w:spacing w:after="60"/>
      </w:pPr>
      <w:r>
        <w:rPr>
          <w:rFonts w:ascii="Aptos" w:cs="Aptos" w:eastAsia="Aptos" w:hAnsi="Aptos"/>
          <w:sz w:val="24"/>
          <w:szCs w:val="24"/>
        </w:rPr>
        <w:t xml:space="preserve">Implements: the Data Classification Policy.</w:t>
      </w:r>
    </w:p>
    <w:p>
      <w:pPr>
        <w:pStyle w:val="ListParagraph"/>
        <w:numPr>
          <w:ilvl w:val="0"/>
          <w:numId w:val="2"/>
        </w:numPr>
        <w:spacing w:after="60"/>
      </w:pPr>
      <w:r>
        <w:rPr>
          <w:rFonts w:ascii="Aptos" w:cs="Aptos" w:eastAsia="Aptos" w:hAnsi="Aptos"/>
          <w:sz w:val="24"/>
          <w:szCs w:val="24"/>
        </w:rPr>
        <w:t xml:space="preserve">Excludes: CJIS-specific handling, which is governed by the CJIS Data Handling Addendum. </w:t>
      </w:r>
    </w:p>
    <w:p>
      <w:pPr>
        <w:pStyle w:val="Heading2"/>
        <w:spacing w:after="100" w:before="220"/>
      </w:pPr>
      <w:r>
        <w:rPr>
          <w:rFonts w:ascii="Aptos" w:cs="Aptos" w:eastAsia="Aptos" w:hAnsi="Aptos"/>
          <w:b/>
          <w:bCs/>
          <w:color w:val="1B3A5C"/>
          <w:sz w:val="26"/>
          <w:szCs w:val="26"/>
        </w:rPr>
        <w:t xml:space="preserve">3. Requirements</w:t>
      </w:r>
    </w:p>
    <w:p>
      <w:pPr>
        <w:spacing w:after="140"/>
      </w:pPr>
      <w:r>
        <w:rPr>
          <w:rFonts w:ascii="Aptos" w:cs="Aptos" w:eastAsia="Aptos" w:hAnsi="Aptos"/>
          <w:sz w:val="24"/>
          <w:szCs w:val="24"/>
          <w:b/>
          <w:color w:val="1B3A5C"/>
        </w:rPr>
        <w:t xml:space="preserve">Storage</w:t>
      </w:r>
    </w:p>
    <w:p>
      <w:pPr>
        <w:pStyle w:val="ListParagraph"/>
        <w:numPr>
          <w:ilvl w:val="0"/>
          <w:numId w:val="3"/>
        </w:numPr>
        <w:spacing w:after="60"/>
      </w:pPr>
      <w:r>
        <w:rPr>
          <w:rFonts w:ascii="Aptos" w:cs="Aptos" w:eastAsia="Aptos" w:hAnsi="Aptos"/>
          <w:sz w:val="24"/>
          <w:szCs w:val="24"/>
        </w:rPr>
        <w:t xml:space="preserve">The Agency shall store information and media at each classification with protection matching its sensitivity, keeping Confidential data (including CJIS-regulated data, governed by the CJIS Data Handling Addendum) in access-controlled locations and encrypted at rest per the Encryption Standards Document.</w:t>
      </w:r>
    </w:p>
    <w:p>
      <w:pPr>
        <w:pStyle w:val="ListParagraph"/>
        <w:numPr>
          <w:ilvl w:val="0"/>
          <w:numId w:val="3"/>
        </w:numPr>
        <w:spacing w:after="60"/>
      </w:pPr>
      <w:r>
        <w:rPr>
          <w:rFonts w:ascii="Aptos" w:cs="Aptos" w:eastAsia="Aptos" w:hAnsi="Aptos"/>
          <w:sz w:val="24"/>
          <w:szCs w:val="24"/>
        </w:rPr>
        <w:t xml:space="preserve">The Agency shall label media and records with their classification where practical.</w:t>
      </w:r>
    </w:p>
    <w:p>
      <w:pPr>
        <w:spacing w:after="140"/>
      </w:pPr>
      <w:r>
        <w:rPr>
          <w:rFonts w:ascii="Aptos" w:cs="Aptos" w:eastAsia="Aptos" w:hAnsi="Aptos"/>
          <w:sz w:val="24"/>
          <w:szCs w:val="24"/>
          <w:b/>
          <w:color w:val="1B3A5C"/>
        </w:rPr>
        <w:t xml:space="preserve">Transmission</w:t>
      </w:r>
    </w:p>
    <w:p>
      <w:pPr>
        <w:pStyle w:val="ListParagraph"/>
        <w:numPr>
          <w:ilvl w:val="0"/>
          <w:numId w:val="3"/>
        </w:numPr>
        <w:spacing w:after="60"/>
      </w:pPr>
      <w:r>
        <w:rPr>
          <w:rFonts w:ascii="Aptos" w:cs="Aptos" w:eastAsia="Aptos" w:hAnsi="Aptos"/>
          <w:sz w:val="24"/>
          <w:szCs w:val="24"/>
        </w:rPr>
        <w:t xml:space="preserve">The Agency shall transmit Restricted and Confidential information only by approved secure methods, encrypted in transit per the Encryption Standards Document, and shall not send such information by personal email or unencrypted channels.</w:t>
      </w:r>
    </w:p>
    <w:p>
      <w:pPr>
        <w:spacing w:after="140"/>
      </w:pPr>
      <w:r>
        <w:rPr>
          <w:rFonts w:ascii="Aptos" w:cs="Aptos" w:eastAsia="Aptos" w:hAnsi="Aptos"/>
          <w:sz w:val="24"/>
          <w:szCs w:val="24"/>
          <w:b/>
          <w:color w:val="1B3A5C"/>
        </w:rPr>
        <w:t xml:space="preserve">Transport</w:t>
      </w:r>
    </w:p>
    <w:p>
      <w:pPr>
        <w:pStyle w:val="ListParagraph"/>
        <w:numPr>
          <w:ilvl w:val="0"/>
          <w:numId w:val="3"/>
        </w:numPr>
        <w:spacing w:after="60"/>
      </w:pPr>
      <w:r>
        <w:rPr>
          <w:rFonts w:ascii="Aptos" w:cs="Aptos" w:eastAsia="Aptos" w:hAnsi="Aptos"/>
          <w:sz w:val="24"/>
          <w:szCs w:val="24"/>
        </w:rPr>
        <w:t xml:space="preserve">The Agency shall transport physical media and printed records holding Restricted or Confidential data so loss or exposure is prevented (sealed, tracked, and encrypted where the media supports it), and shall log the movement in the Media Tracking Register.</w:t>
      </w:r>
    </w:p>
    <w:p>
      <w:pPr>
        <w:spacing w:after="140"/>
      </w:pPr>
      <w:r>
        <w:rPr>
          <w:rFonts w:ascii="Aptos" w:cs="Aptos" w:eastAsia="Aptos" w:hAnsi="Aptos"/>
          <w:sz w:val="24"/>
          <w:szCs w:val="24"/>
          <w:b/>
          <w:color w:val="1B3A5C"/>
        </w:rPr>
        <w:t xml:space="preserve">Destruction</w:t>
      </w:r>
    </w:p>
    <w:p>
      <w:pPr>
        <w:pStyle w:val="ListParagraph"/>
        <w:numPr>
          <w:ilvl w:val="0"/>
          <w:numId w:val="3"/>
        </w:numPr>
        <w:spacing w:after="60"/>
      </w:pPr>
      <w:r>
        <w:rPr>
          <w:rFonts w:ascii="Aptos" w:cs="Aptos" w:eastAsia="Aptos" w:hAnsi="Aptos"/>
          <w:sz w:val="24"/>
          <w:szCs w:val="24"/>
        </w:rPr>
        <w:t xml:space="preserve">The Agency shall destroy information and media at end of retention by a method matching its classification, following the Secure Disposal Procedures, and shall record each destruction in the Data Disposal / Destruction Records.</w:t>
      </w:r>
    </w:p>
    <w:p>
      <w:pPr>
        <w:spacing w:after="140"/>
      </w:pPr>
      <w:r>
        <w:rPr>
          <w:rFonts w:ascii="Aptos" w:cs="Aptos" w:eastAsia="Aptos" w:hAnsi="Aptos"/>
          <w:sz w:val="24"/>
          <w:szCs w:val="24"/>
          <w:b/>
          <w:color w:val="1B3A5C"/>
        </w:rPr>
        <w:t xml:space="preserve">Removable and portable media</w:t>
      </w:r>
    </w:p>
    <w:p>
      <w:pPr>
        <w:pStyle w:val="ListParagraph"/>
        <w:numPr>
          <w:ilvl w:val="0"/>
          <w:numId w:val="3"/>
        </w:numPr>
        <w:spacing w:after="60"/>
      </w:pPr>
      <w:r>
        <w:rPr>
          <w:rFonts w:ascii="Aptos" w:cs="Aptos" w:eastAsia="Aptos" w:hAnsi="Aptos"/>
          <w:sz w:val="24"/>
          <w:szCs w:val="24"/>
        </w:rPr>
        <w:t xml:space="preserve">The Agency shall record every removable or portable media item holding Restricted or Confidential data in the Media Tracking Register, encrypt it where the media supports it, and control who may issue, hold, and return it.</w:t>
      </w:r>
    </w:p>
    <w:p>
      <w:pPr>
        <w:pStyle w:val="Heading2"/>
        <w:spacing w:after="100" w:before="220"/>
      </w:pPr>
      <w:r>
        <w:rPr>
          <w:rFonts w:ascii="Aptos" w:cs="Aptos" w:eastAsia="Aptos" w:hAnsi="Aptos"/>
          <w:b/>
          <w:bCs/>
          <w:color w:val="1B3A5C"/>
          <w:sz w:val="26"/>
          <w:szCs w:val="26"/>
        </w:rPr>
        <w:t xml:space="preserve">4. Approved and Prohibited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Approved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Prohibited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Encrypted email or secure portal; SFTP or agency VPN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Personal email or messaging; unencrypted USB or drives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Agency-issued encrypted USB; tracked courier for physical media</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Public file-sharing links; media or printed records left unattended</w:t>
            </w:r>
          </w:p>
        </w:tc>
      </w:tr>
    </w:tbl>
    <w:p>
      <w:pPr>
        <w:pStyle w:val="Heading2"/>
        <w:spacing w:after="100" w:before="220"/>
      </w:pPr>
      <w:r>
        <w:rPr>
          <w:rFonts w:ascii="Aptos" w:cs="Aptos" w:eastAsia="Aptos" w:hAnsi="Aptos"/>
          <w:sz w:val="24"/>
          <w:szCs w:val="24"/>
        </w:rPr>
        <w:t xml:space="preserve">5. Media Tracking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cantSplit/>
          <w:tblHeader/>
        </w:trPr>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Field</w:t>
            </w:r>
          </w:p>
        </w:tc>
        <w:tc>
          <w:tcPr>
            <w:tcW w:type="dxa" w:w="468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sz w:val="24"/>
                <w:szCs w:val="24"/>
              </w:rPr>
              <w:t xml:space="preserve">What the register records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ID</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Unique identifier for the media item.</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Type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Media type (drive, tape, USB, printed report).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Classification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Highest classification of the data it holds.</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Custodian (Role)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Role accountable for the media.</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Location / Status</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Where it is held, or whether issued or returned.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Encryption</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Whether and how the media is encrypted.</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Movement / Transport</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Date and method of any transport.</w:t>
            </w:r>
          </w:p>
        </w:tc>
      </w:tr>
      <w:tr>
        <w:trPr>
          <w:cantSplit/>
        </w:trPr>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Destruction Reference</w:t>
            </w:r>
          </w:p>
        </w:tc>
        <w:tc>
          <w:tcPr>
            <w:tcW w:type="dxa" w:w="468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Link to the Data Disposal / Destruction Records when destroyed.</w:t>
            </w:r>
          </w:p>
        </w:tc>
      </w:tr>
    </w:tbl>
    <w:p>
      <w:pPr>
        <w:pStyle w:val="Heading2"/>
        <w:spacing w:after="100" w:before="220"/>
      </w:pPr>
      <w:r>
        <w:rPr>
          <w:rFonts w:ascii="Aptos" w:cs="Aptos" w:eastAsia="Aptos" w:hAnsi="Aptos"/>
          <w:b/>
          <w:bCs/>
          <w:color w:val="1B3A5C"/>
          <w:sz w:val="26"/>
          <w:szCs w:val="26"/>
        </w:rPr>
        <w:t>6. Deviation Process</w:t>
      </w:r>
    </w:p>
    <w:p>
      <w:pPr>
        <w:spacing w:after="120" w:before="0"/>
      </w:pPr>
      <w:r>
        <w:rPr>
          <w:rFonts w:ascii="Aptos" w:cs="Aptos" w:eastAsia="Aptos" w:hAnsi="Aptos"/>
          <w:sz w:val="24"/>
          <w:szCs w:val="24"/>
        </w:rPr>
        <w:t xml:space="preserve">Deviations from this standard require the Director's written approval, are recorded with the reason and an expiry date, and are reviewed at the annual review.</w:t>
      </w:r>
    </w:p>
    <w:p>
      <w:pPr>
        <w:pStyle w:val="Heading2"/>
        <w:spacing w:after="100" w:before="220"/>
      </w:pPr>
      <w:r>
        <w:rPr>
          <w:rFonts w:ascii="Aptos" w:cs="Aptos" w:eastAsia="Aptos" w:hAnsi="Aptos"/>
          <w:b/>
          <w:bCs/>
          <w:color w:val="1B3A5C"/>
          <w:sz w:val="26"/>
          <w:szCs w:val="26"/>
        </w:rPr>
        <w:t>7. Review Schedule</w:t>
      </w:r>
    </w:p>
    <w:p>
      <w:pPr>
        <w:spacing w:after="120" w:before="0"/>
      </w:pPr>
      <w:r>
        <w:rPr>
          <w:rFonts w:ascii="Aptos" w:cs="Aptos" w:eastAsia="Aptos" w:hAnsi="Aptos"/>
          <w:b w:val="false"/>
          <w:bCs w:val="false"/>
          <w:i w:val="false"/>
          <w:iCs w:val="false"/>
          <w:sz w:val="24"/>
          <w:szCs w:val="24"/>
        </w:rPr>
        <w:t>This standard is reviewed at least annually and after a significant change, by the Security Coordinator.</w:t>
      </w:r>
    </w:p>
    <w:p>
      <w:pPr>
        <w:pStyle w:val="Heading2"/>
        <w:spacing w:after="100" w:before="220"/>
      </w:pPr>
      <w:r>
        <w:rPr>
          <w:rFonts w:ascii="Aptos" w:cs="Aptos" w:eastAsia="Aptos" w:hAnsi="Aptos"/>
          <w:b/>
          <w:bCs/>
          <w:color w:val="1B3A5C"/>
          <w:sz w:val="26"/>
          <w:szCs w:val="26"/>
        </w:rPr>
        <w:t xml:space="preserve">Profile Scaling Notes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cantSplit/>
          <w:tblHeader/>
        </w:trPr>
        <w:tc>
          <w:tcPr>
            <w:tcW w:type="dxa" w:w="3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PSAP Profile</w:t>
            </w:r>
          </w:p>
        </w:tc>
        <w:tc>
          <w:tcPr>
            <w:tcW w:type="dxa" w:w="61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Minimum-viable implementation</w:t>
            </w:r>
          </w:p>
        </w:tc>
      </w:tr>
      <w:tr>
        <w:trPr>
          <w:cantSplit/>
        </w:trPr>
        <w:tc>
          <w:tcPr>
            <w:tcW w:type="dxa" w:w="3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 xml:space="preserve">Small (1–5 dispatchers, no in-house IT)</w:t>
            </w:r>
          </w:p>
        </w:tc>
        <w:tc>
          <w:tcPr>
            <w:tcW w:type="dxa" w:w="61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A short set of rules everyone follows: how to send sensitive files, how to carry or mail media, and how to destroy records. The media register is a simple list of any drives or tapes that hold sensitive data.</w:t>
            </w:r>
          </w:p>
        </w:tc>
      </w:tr>
    </w:tbl>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trPr>
        <w:tc>
          <w:tcPr>
            <w:tcW w:type="dxa" w:w="9360"/>
            <w:tcBorders>
              <w:top w:val="single" w:color="BFBFBF" w:sz="4"/>
              <w:left w:val="single" w:color="BFBFBF" w:sz="4"/>
              <w:bottom w:val="single" w:color="BFBFBF" w:sz="4"/>
              <w:right w:val="single" w:color="BFBFBF" w:sz="4"/>
            </w:tcBorders>
            <w:shd w:fill="EEF2F7" w:val="clear"/>
            <w:tcMar>
              <w:top w:type="dxa" w:w="80"/>
              <w:left w:type="dxa" w:w="120"/>
              <w:bottom w:type="dxa" w:w="80"/>
              <w:right w:type="dxa" w:w="120"/>
            </w:tcMar>
          </w:tcPr>
          <w:p>
            <w:pPr>
              <w:spacing w:after="60"/>
            </w:pPr>
            <w:r>
              <w:rPr>
                <w:rFonts w:ascii="Aptos" w:cs="Aptos" w:eastAsia="Aptos" w:hAnsi="Aptos"/>
                <w:b/>
                <w:bCs/>
                <w:i w:val="false"/>
                <w:iCs w:val="false"/>
                <w:color w:val="1B3A5C"/>
                <w:sz w:val="24"/>
                <w:szCs w:val="24"/>
              </w:rPr>
              <w:t xml:space="preserve">Source Authority</w:t>
            </w:r>
          </w:p>
          <w:p>
            <w:pPr>
              <w:spacing w:after="40" w:before="0"/>
            </w:pPr>
            <w:r>
              <w:rPr>
                <w:rFonts w:ascii="Aptos" w:cs="Aptos" w:eastAsia="Aptos" w:hAnsi="Aptos"/>
                <w:sz w:val="24"/>
                <w:szCs w:val="24"/>
              </w:rPr>
              <w:t xml:space="preserve">NENA-STA-040.2-2024: §4.1.4, §4.2.2, §4.2.3</w:t>
            </w:r>
          </w:p>
          <w:p>
            <w:pPr>
              <w:spacing w:after="40" w:before="0"/>
            </w:pPr>
            <w:r>
              <w:rPr>
                <w:rFonts w:ascii="Aptos" w:cs="Aptos" w:eastAsia="Aptos" w:hAnsi="Aptos"/>
                <w:sz w:val="24"/>
                <w:szCs w:val="24"/>
              </w:rPr>
              <w:t xml:space="preserve">NIST SP 800-53 Rev. 5: AC-3, MP-4, MP-6, SC-8, SC-28, SI-12</w:t>
            </w:r>
          </w:p>
        </w:tc>
      </w:tr>
    </w:tbl>
    <w:p>
      <w:pPr>
        <w:pStyle w:val="Heading2"/>
        <w:spacing w:after="100" w:before="220"/>
      </w:pPr>
      <w:r>
        <w:rPr>
          <w:rFonts w:ascii="Aptos" w:cs="Aptos" w:eastAsia="Aptos" w:hAnsi="Aptos"/>
          <w:b/>
          <w:bCs/>
          <w:color w:val="1B3A5C"/>
          <w:sz w:val="26"/>
          <w:szCs w:val="26"/>
        </w:rPr>
        <w:t xml:space="preserve">Approval Signatures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360"/>
        <w:gridCol w:w="2600"/>
        <w:gridCol w:w="1400"/>
      </w:tblGrid>
      <w:tr>
        <w:trPr>
          <w:cantSplit/>
          <w:tblHeader/>
        </w:trPr>
        <w:tc>
          <w:tcPr>
            <w:tcW w:type="dxa" w:w="30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Role</w:t>
            </w:r>
          </w:p>
        </w:tc>
        <w:tc>
          <w:tcPr>
            <w:tcW w:type="dxa" w:w="23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Name</w:t>
            </w:r>
          </w:p>
        </w:tc>
        <w:tc>
          <w:tcPr>
            <w:tcW w:type="dxa" w:w="2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Signature</w:t>
            </w:r>
          </w:p>
        </w:tc>
        <w:tc>
          <w:tcPr>
            <w:tcW w:type="dxa" w:w="14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Director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r>
        <w:trPr>
          <w:cantSplit/>
        </w:trPr>
        <w:tc>
          <w:tcPr>
            <w:tcW w:type="dxa" w:w="30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b w:val="false"/>
                <w:bCs w:val="false"/>
                <w:i w:val="false"/>
                <w:iCs w:val="false"/>
                <w:sz w:val="24"/>
                <w:szCs w:val="24"/>
              </w:rPr>
              <w:t>Security Coordinator</w:t>
            </w:r>
          </w:p>
        </w:tc>
        <w:tc>
          <w:tcPr>
            <w:tcW w:type="dxa" w:w="236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26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c>
          <w:tcPr>
            <w:tcW w:type="dxa" w:w="1400"/>
            <w:tcBorders>
              <w:top w:val="single" w:color="BFBFBF" w:sz="4"/>
              <w:left w:val="single" w:color="BFBFBF" w:sz="4"/>
              <w:bottom w:val="single" w:color="BFBFBF" w:sz="4"/>
              <w:right w:val="single" w:color="BFBFBF" w:sz="4"/>
            </w:tcBorders>
            <w:tcMar>
              <w:top w:type="dxa" w:w="80"/>
              <w:left w:type="dxa" w:w="120"/>
              <w:bottom w:type="dxa" w:w="80"/>
              <w:right w:type="dxa" w:w="120"/>
            </w:tcMar>
          </w:tcPr>
          <w:p/>
        </w:tc>
      </w:tr>
    </w:tbl>
    <w:p>
      <w:pPr>
        <w:pStyle w:val="Heading2"/>
        <w:spacing w:after="100" w:before="220"/>
      </w:pPr>
      <w:r>
        <w:rPr>
          <w:rFonts w:ascii="Aptos" w:cs="Aptos" w:eastAsia="Aptos" w:hAnsi="Aptos"/>
          <w:b/>
          <w:bCs/>
          <w:color w:val="1B3A5C"/>
          <w:sz w:val="26"/>
          <w:szCs w:val="26"/>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600"/>
        <w:gridCol w:w="2200"/>
        <w:gridCol w:w="4260"/>
      </w:tblGrid>
      <w:tr>
        <w:trPr>
          <w:cantSplit/>
          <w:tblHeader/>
        </w:trPr>
        <w:tc>
          <w:tcPr>
            <w:tcW w:type="dxa" w:w="13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Version</w:t>
            </w:r>
          </w:p>
        </w:tc>
        <w:tc>
          <w:tcPr>
            <w:tcW w:type="dxa" w:w="16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Date</w:t>
            </w:r>
          </w:p>
        </w:tc>
        <w:tc>
          <w:tcPr>
            <w:tcW w:type="dxa" w:w="220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Author</w:t>
            </w:r>
          </w:p>
        </w:tc>
        <w:tc>
          <w:tcPr>
            <w:tcW w:type="dxa" w:w="4260"/>
            <w:tcBorders>
              <w:top w:val="single" w:color="BFBFBF" w:sz="4"/>
              <w:left w:val="single" w:color="BFBFBF" w:sz="4"/>
              <w:bottom w:val="single" w:color="BFBFBF" w:sz="4"/>
              <w:right w:val="single" w:color="BFBFBF" w:sz="4"/>
            </w:tcBorders>
            <w:shd w:fill="1B3A5C" w:val="clear"/>
            <w:tcMar>
              <w:top w:type="dxa" w:w="80"/>
              <w:left w:type="dxa" w:w="120"/>
              <w:bottom w:type="dxa" w:w="80"/>
              <w:right w:type="dxa" w:w="120"/>
            </w:tcMar>
          </w:tcPr>
          <w:p>
            <w:r>
              <w:rPr>
                <w:rFonts w:ascii="Aptos" w:cs="Aptos" w:eastAsia="Aptos" w:hAnsi="Aptos"/>
                <w:b/>
                <w:bCs/>
                <w:color w:val="FFFFFF"/>
                <w:sz w:val="24"/>
                <w:szCs w:val="24"/>
              </w:rPr>
              <w:t xml:space="preserve">Summary of Change</w:t>
            </w:r>
          </w:p>
        </w:tc>
      </w:tr>
      <w:tr>
        <w:trPr>
          <w:cantSplit/>
        </w:trPr>
        <w:tc>
          <w:tcPr>
            <w:tcW w:type="dxa" w:w="13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1.0</w:t>
            </w:r>
          </w:p>
        </w:tc>
        <w:tc>
          <w:tcPr>
            <w:tcW w:type="dxa" w:w="16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2026-03-01</w:t>
            </w:r>
          </w:p>
        </w:tc>
        <w:tc>
          <w:tcPr>
            <w:tcW w:type="dxa" w:w="220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Security Coordinator</w:t>
            </w:r>
          </w:p>
        </w:tc>
        <w:tc>
          <w:tcPr>
            <w:tcW w:type="dxa" w:w="4260"/>
            <w:tcBorders>
              <w:top w:val="single" w:color="BFBFBF" w:sz="4"/>
              <w:left w:val="single" w:color="BFBFBF" w:sz="4"/>
              <w:bottom w:val="single" w:color="BFBFBF" w:sz="4"/>
              <w:right w:val="single" w:color="BFBFBF" w:sz="4"/>
            </w:tcBorders>
            <w:tcMar>
              <w:top w:type="dxa" w:w="80"/>
              <w:left w:type="dxa" w:w="120"/>
              <w:bottom w:type="dxa" w:w="80"/>
              <w:right w:type="dxa" w:w="120"/>
            </w:tcMar>
          </w:tcPr>
          <w:p>
            <w:r>
              <w:rPr>
                <w:rFonts w:ascii="Aptos" w:cs="Aptos" w:eastAsia="Aptos" w:hAnsi="Aptos"/>
                <w:sz w:val="24"/>
                <w:szCs w:val="24"/>
              </w:rPr>
              <w:t xml:space="preserve">Initial issue</w:t>
            </w:r>
          </w:p>
        </w:tc>
      </w:tr>
    </w:tbl>
    <w:p>
      <w:pPr>
        <w:spacing w:after="6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ptos" w:cs="Aptos" w:eastAsia="Aptos" w:hAnsi="Aptos"/>
        <w:color w:val="595959"/>
        <w:sz w:val="18"/>
        <w:szCs w:val="18"/>
      </w:rPr>
      <w:t xml:space="preserve">Page </w:t>
    </w:r>
    <w:r>
      <w:rPr>
        <w:rFonts w:ascii="Aptos" w:cs="Aptos" w:eastAsia="Aptos" w:hAnsi="Aptos"/>
        <w:color w:val="595959"/>
        <w:sz w:val="18"/>
        <w:szCs w:val="18"/>
      </w:rPr>
      <w:fldChar w:fldCharType="begin"/>
      <w:instrText xml:space="preserve">PAGE</w:instrText>
      <w:fldChar w:fldCharType="separate"/>
      <w:fldChar w:fldCharType="end"/>
    </w:r>
    <w:r>
      <w:rPr>
        <w:rFonts w:ascii="Aptos" w:cs="Aptos" w:eastAsia="Aptos" w:hAnsi="Aptos"/>
        <w:color w:val="595959"/>
        <w:sz w:val="18"/>
        <w:szCs w:val="18"/>
      </w:rPr>
      <w:t xml:space="preserve"> of </w:t>
    </w:r>
    <w:r>
      <w:rPr>
        <w:rFonts w:ascii="Aptos" w:cs="Aptos" w:eastAsia="Aptos" w:hAnsi="Aptos"/>
        <w:color w:val="595959"/>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drawing>
        <wp:inline xmlns:a="http://schemas.openxmlformats.org/drawingml/2006/main" xmlns:pic="http://schemas.openxmlformats.org/drawingml/2006/picture">
          <wp:extent cx="777240" cy="777240"/>
          <wp:docPr id="1" name="Picture 1"/>
          <wp:cNvGraphicFramePr>
            <a:graphicFrameLocks noChangeAspect="1"/>
          </wp:cNvGraphicFramePr>
          <a:graphic>
            <a:graphicData uri="http://schemas.openxmlformats.org/drawingml/2006/picture">
              <pic:pic>
                <pic:nvPicPr>
                  <pic:cNvPr id="0" name="seal-wabash.png"/>
                  <pic:cNvPicPr/>
                </pic:nvPicPr>
                <pic:blipFill>
                  <a:blip r:embed="rId1"/>
                  <a:stretch>
                    <a:fillRect/>
                  </a:stretch>
                </pic:blipFill>
                <pic:spPr>
                  <a:xfrm>
                    <a:off x="0" y="0"/>
                    <a:ext cx="777240" cy="777240"/>
                  </a:xfrm>
                  <a:prstGeom prst="rect"/>
                </pic:spPr>
              </pic:pic>
            </a:graphicData>
          </a:graphic>
        </wp:inline>
      </w:drawing>
    </w:r>
  </w:p>
  <w:p>
    <w:pPr>
      <w:pBdr>
        <w:bottom w:val="single" w:color="1B3A5C" w:sz="6" w:space="2"/>
      </w:pBdr>
      <w:jc w:val="right"/>
    </w:pPr>
    <w:r>
      <w:rPr>
        <w:rFonts w:ascii="Aptos" w:cs="Aptos" w:eastAsia="Aptos" w:hAnsi="Aptos"/>
        <w:color w:val="595959"/>
        <w:sz w:val="16"/>
        <w:szCs w:val="16"/>
      </w:rPr>
    </w:r>
  </w:p>
  <w:p>
    <w:r>
      <w:drawing>
        <wp:anchor xmlns:a="http://schemas.openxmlformats.org/drawingml/2006/main" behindDoc="1" distT="0" distB="0" distL="0" distR="0" simplePos="0" locked="0" layoutInCell="1" allowOverlap="1" relativeHeight="0">
          <wp:simplePos x="0" y="0"/>
          <wp:positionH relativeFrom="page">
            <wp:align>center</wp:align>
          </wp:positionH>
          <wp:positionV relativeFrom="page">
            <wp:align>center</wp:align>
          </wp:positionV>
          <wp:extent cx="5943600" cy="5943600"/>
          <wp:effectExtent l="0" t="0" r="0" b="0"/>
          <wp:wrapNone/>
          <wp:docPr id="990" name="SampleWatermark"/>
          <wp:cNvGraphicFramePr/>
          <a:graphic xmlns:pic="http://schemas.openxmlformats.org/drawingml/2006/picture">
            <a:graphicData uri="http://schemas.openxmlformats.org/drawingml/2006/picture">
              <pic:pic>
                <pic:nvPicPr>
                  <pic:cNvPr id="0" name="_sample_wm.png"/>
                  <pic:cNvPicPr/>
                </pic:nvPicPr>
                <pic:blipFill>
                  <a:blip r:embed="rId2"/>
                  <a:stretch>
                    <a:fillRect/>
                  </a:stretch>
                </pic:blipFill>
                <pic:spPr>
                  <a:xfrm>
                    <a:off x="0" y="0"/>
                    <a:ext cx="5943600" cy="5943600"/>
                  </a:xfrm>
                  <a:prstGeom prst="rect"/>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20"/>
      </w:pPr>
    </w:lvl>
  </w:abstractNum>
  <w:abstractNum w:abstractNumId="3" w15:restartNumberingAfterBreak="0">
    <w:multiLevelType w:val="hybridMultilevel"/>
    <w:lvl w:ilvl="0" w15:tentative="1">
      <w:start w:val="1"/>
      <w:numFmt w:val="decimal"/>
      <w:lvlText w:val="%1."/>
      <w:lvlJc w:val="left"/>
      <w:pPr>
        <w:ind w:left="600" w:hanging="320"/>
      </w:pPr>
    </w:lvl>
  </w:abstractNum>
  <w:abstractNum w:abstractNumId="4" w15:restartNumberingAfterBreak="0">
    <w:multiLevelType w:val="hybridMultilevel"/>
    <w:lvl w:ilvl="0" w15:tentative="1">
      <w:start w:val="1"/>
      <w:numFmt w:val="bullet"/>
      <w:lvlText w:val="•"/>
      <w:lvlJc w:val="left"/>
      <w:pPr>
        <w:ind w:left="600" w:hanging="320"/>
      </w:pPr>
    </w:lvl>
  </w:abstractNum>
  <w:abstractNum w:abstractNumId="5" w15:restartNumberingAfterBreak="0">
    <w:multiLevelType w:val="hybridMultilevel"/>
    <w:lvl w:ilvl="0" w15:tentative="1">
      <w:start w:val="1"/>
      <w:numFmt w:val="bullet"/>
      <w:lvlText w:val="•"/>
      <w:lvlJc w:val="left"/>
      <w:pPr>
        <w:ind w:left="600" w:hanging="320"/>
      </w:pPr>
    </w:lvl>
  </w:abstractNum>
  <w:abstractNum w:abstractNumId="6" w15:restartNumberingAfterBreak="0">
    <w:multiLevelType w:val="hybridMultilevel"/>
    <w:lvl w:ilvl="0" w15:tentative="1">
      <w:start w:val="1"/>
      <w:numFmt w:val="decimal"/>
      <w:lvlText w:val="%1."/>
      <w:lvlJc w:val="left"/>
      <w:pPr>
        <w:ind w:left="600" w:hanging="320"/>
      </w:pPr>
    </w:lvl>
  </w:abstractNum>
  <w:abstractNum w:abstractNumId="7" w15:restartNumberingAfterBreak="0">
    <w:multiLevelType w:val="hybridMultilevel"/>
    <w:lvl w:ilvl="0" w15:tentative="1">
      <w:start w:val="1"/>
      <w:numFmt w:val="decimal"/>
      <w:lvlText w:val="%1."/>
      <w:lvlJc w:val="left"/>
      <w:pPr>
        <w:ind w:left="600" w:hanging="320"/>
      </w:pPr>
    </w:lvl>
  </w:abstractNum>
  <w:abstractNum w:abstractNumId="8" w15:restartNumberingAfterBreak="0">
    <w:multiLevelType w:val="hybridMultilevel"/>
    <w:lvl w:ilvl="0" w15:tentative="1">
      <w:start w:val="1"/>
      <w:numFmt w:val="decimal"/>
      <w:lvlText w:val="%1."/>
      <w:lvlJc w:val="left"/>
      <w:pPr>
        <w:ind w:left="600" w:hanging="320"/>
      </w:pPr>
    </w:lvl>
  </w:abstractNum>
  <w:abstractNum w:abstractNumId="9" w15:restartNumberingAfterBreak="0">
    <w:multiLevelType w:val="hybridMultilevel"/>
    <w:lvl w:ilvl="0" w15:tentative="1">
      <w:start w:val="1"/>
      <w:numFmt w:val="bullet"/>
      <w:lvlText w:val="•"/>
      <w:lvlJc w:val="left"/>
      <w:pPr>
        <w:ind w:left="600" w:hanging="320"/>
      </w:pPr>
    </w:lvl>
  </w:abstractNum>
  <w:abstractNum w:abstractNumId="10" w15:restartNumberingAfterBreak="0">
    <w:multiLevelType w:val="hybridMultilevel"/>
    <w:lvl w:ilvl="0" w15:tentative="1">
      <w:start w:val="1"/>
      <w:numFmt w:val="bullet"/>
      <w:lvlText w:val="•"/>
      <w:lvlJc w:val="left"/>
      <w:pPr>
        <w:ind w:left="600" w:hanging="320"/>
      </w:pPr>
    </w:lvl>
  </w:abstractNum>
  <w:abstractNum w:abstractNumId="11" w15:restartNumberingAfterBreak="0">
    <w:multiLevelType w:val="hybridMultilevel"/>
    <w:lvl w:ilvl="0" w15:tentative="1">
      <w:start w:val="1"/>
      <w:numFmt w:val="bullet"/>
      <w:lvlText w:val="•"/>
      <w:lvlJc w:val="left"/>
      <w:pPr>
        <w:ind w:left="600" w:hanging="320"/>
      </w:pPr>
    </w:lvl>
  </w:abstractNum>
  <w:abstractNum w:abstractNumId="12" w15:restartNumberingAfterBreak="0">
    <w:multiLevelType w:val="hybridMultilevel"/>
    <w:lvl w:ilvl="0" w15:tentative="1">
      <w:start w:val="1"/>
      <w:numFmt w:val="bullet"/>
      <w:lvlText w:val="•"/>
      <w:lvlJc w:val="left"/>
      <w:pPr>
        <w:ind w:left="600" w:hanging="320"/>
      </w:pPr>
    </w:lvl>
  </w:abstractNum>
  <w:num w:numId="1">
    <w:abstractNumId w:val="1"/>
    <w:lvlOverride w:ilvl="0">
      <w:startOverride w:val="1"/>
    </w:lvlOverride>
  </w:num>
  <w:num w:numId="2">
    <w:abstractNumId w:val="12"/>
    <w:lvlOverride w:ilvl="0">
      <w:startOverride w:val="1"/>
    </w:lvlOverride>
  </w:num>
  <w:num w:numId="3">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4"/>
        <w:szCs w:val="24"/>
      </w:rPr>
    </w:rPrDefault>
    <w:pPrDefault/>
  </w:docDefaults>
  <w:style w:type="paragraph" w:styleId="Title">
    <w:name w:val="Title"/>
    <w:basedOn w:val="Normal"/>
    <w:next w:val="Normal"/>
    <w:qFormat/>
    <w:rPr>
      <w:sz w:val="56"/>
      <w:szCs w:val="56"/>
    </w:rPr>
  </w:style>
  <w:style w:type="paragraph" w:styleId="Heading3">
    <w:name w:val="Heading 3"/>
    <w:basedOn w:val="Normal"/>
    <w:next w:val="Normal"/>
    <w:qFormat/>
    <w:pPr>
      <w:keepNext/>
      <w:keepLines/>
      <w:spacing w:after="100" w:before="220"/>
      <w:outlineLvl w:val="2"/>
    </w:pPr>
    <w:rPr>
      <w:rFonts w:ascii="Aptos" w:cs="Aptos" w:eastAsia="Aptos" w:hAnsi="Aptos"/>
      <w:b/>
      <w:bCs/>
      <w:color w:val="1B3A5C"/>
      <w:sz w:val="26"/>
      <w:szCs w:val="26"/>
    </w:rPr>
  </w:style>
  <w:style w:type="paragraph" w:styleId="Heading4">
    <w:name w:val="Heading 4"/>
    <w:basedOn w:val="Normal"/>
    <w:next w:val="Normal"/>
    <w:qFormat/>
    <w:pPr>
      <w:keepNext/>
      <w:keepLines/>
      <w:spacing w:after="100" w:before="220"/>
      <w:outlineLvl w:val="3"/>
    </w:pPr>
    <w:rPr>
      <w:rFonts w:ascii="Aptos" w:cs="Aptos" w:eastAsia="Aptos" w:hAnsi="Aptos"/>
      <w:b/>
      <w:bCs/>
      <w:color w:val="1B3A5C"/>
      <w:sz w:val="24"/>
      <w:szCs w:val="24"/>
    </w:rPr>
  </w:style>
  <w:style w:type="paragraph" w:styleId="Heading5">
    <w:name w:val="Heading 5"/>
    <w:basedOn w:val="Normal"/>
    <w:next w:val="Normal"/>
    <w:qFormat/>
    <w:pPr>
      <w:keepNext/>
      <w:keepLines/>
      <w:spacing w:after="100" w:before="220"/>
      <w:outlineLvl w:val="4"/>
    </w:pPr>
    <w:rPr>
      <w:rFonts w:ascii="Aptos" w:cs="Aptos" w:eastAsia="Aptos" w:hAnsi="Aptos"/>
      <w:b/>
      <w:bCs/>
      <w:color w:val="1B3A5C"/>
      <w:sz w:val="24"/>
      <w:szCs w:val="24"/>
    </w:rPr>
  </w:style>
  <w:style w:type="paragraph" w:styleId="Heading6">
    <w:name w:val="Heading 6"/>
    <w:basedOn w:val="Normal"/>
    <w:next w:val="Normal"/>
    <w:qFormat/>
    <w:pPr>
      <w:keepNext/>
      <w:keepLines/>
      <w:spacing w:after="100" w:before="220"/>
      <w:outlineLvl w:val="5"/>
    </w:pPr>
    <w:rPr>
      <w:rFonts w:ascii="Aptos" w:cs="Aptos" w:eastAsia="Aptos" w:hAnsi="Aptos"/>
      <w:b/>
      <w:bCs/>
      <w:color w:val="1B3A5C"/>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keepLines/>
      <w:spacing w:after="160" w:before="240"/>
      <w:outlineLvl w:val="0"/>
    </w:pPr>
    <w:rPr>
      <w:rFonts w:ascii="Aptos" w:cs="Aptos" w:eastAsia="Aptos" w:hAnsi="Aptos"/>
      <w:b/>
      <w:bCs/>
      <w:color w:val="1B3A5C"/>
      <w:sz w:val="32"/>
      <w:szCs w:val="32"/>
    </w:rPr>
  </w:style>
  <w:style w:type="paragraph" w:styleId="Heading2">
    <w:name w:val="Heading 2"/>
    <w:basedOn w:val="Normal"/>
    <w:next w:val="Normal"/>
    <w:qFormat/>
    <w:pPr>
      <w:keepNext/>
      <w:keepLines/>
      <w:spacing w:after="100" w:before="220"/>
      <w:outlineLvl w:val="1"/>
    </w:pPr>
    <w:rPr>
      <w:rFonts w:ascii="Aptos" w:cs="Aptos" w:eastAsia="Aptos" w:hAnsi="Aptos"/>
      <w:b/>
      <w:bCs/>
      <w:color w:val="1B3A5C"/>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911 Authority in partnership with IN911</dc:creator>
  <cp:lastModifiedBy/>
  <cp:revision>1</cp:revision>
  <dcterms:created xsi:type="dcterms:W3CDTF">2026-06-01T15:29:11.465Z</dcterms:created>
  <dcterms:modified xsi:type="dcterms:W3CDTF">2026-06-01T15:29:11.465Z</dcterms:modified>
  <dc:title xmlns:dc="http://purl.org/dc/elements/1.1/">Document Handling Standard - EXAMPLE - M</dc:title>
</cp:coreProperties>
</file>

<file path=docProps/custom.xml><?xml version="1.0" encoding="utf-8"?>
<Properties xmlns="http://schemas.openxmlformats.org/officeDocument/2006/custom-properties" xmlns:vt="http://schemas.openxmlformats.org/officeDocument/2006/docPropsVTypes"/>
</file>