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Assessment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Wabash Valley Communications under the authority of Anthony Reyes, Director.</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March 2, 2026    Next Review: March 2,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Security Coordinator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is the repeatable method Wabash Valley Communications uses to run a risk assessment. It implements the Risk Management Methodology Standard, applies its scales and appetite, and produces the Risk Assessment Report that feeds the Risk Register. Run it at least annually and after any major system change or significant incident.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 or assigned security coordinator who runs the assessment, with input from IT support and shift supervisors.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risk assessment of the Agency's mission-critical public-safety systems, including facility and environmental hazards that threaten 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setting the risk appetite and scales, which are fixed in the Risk Management Methodology Standard. None.</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current Risk Management Methodology Standard: its appetite statement, scoring scales, and in-scope threat vectors.</w:t>
      </w:r>
    </w:p>
    <w:p>
      <w:pPr>
        <w:pStyle w:val="ListParagraph"/>
        <w:numPr>
          <w:ilvl w:val="0"/>
          <w:numId w:val="3"/>
        </w:numPr>
        <w:spacing w:after="60"/>
      </w:pPr>
      <w:r>
        <w:rPr>
          <w:rFonts w:ascii="Aptos" w:cs="Aptos" w:eastAsia="Aptos" w:hAnsi="Aptos"/>
          <w:b w:val="false"/>
          <w:bCs w:val="false"/>
          <w:i w:val="false"/>
          <w:iCs w:val="false"/>
          <w:sz w:val="24"/>
          <w:szCs w:val="24"/>
        </w:rPr>
        <w:t xml:space="preserve">Input from IT support and shift supervisors, plus any recent Vulnerability Assessment Reports or incident records.</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 scope: list the systems and facilities to assess, drawn from the Master Asset Inventory and the criticality ranking.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Identify threats and failure modes for each in-scope system, covering the threat vectors named in the Standard plus facility and environmental hazards.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likelihood for each risk using the Standard's likelihood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impact against service availability, data, and life safety using the Standard's impact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shift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Rate each risk by combining likelihood and impact, and compare it to the stated risk appetite.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each assessed risk in the Risk Register and open treatment items in the Risk / Finding Register (POA&amp;M).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Write up the assessment as the Risk Assessment Report and present the results to the Director.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and 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in-scope system from the Master Asset Inventory has at least one scored risk in the Risk Register; each risk carries a likelihood and impact rating from the Standard's scales; and any risk above appetite has a treatment item or a recorded deviation. The completed Risk Assessment Report is signed by the Director.</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Risk Management Methodology Standard; Master Asset Inventory; Asset Criticality Ranking Matrix; Risk Register; Risk / Finding Register (POA&amp;M); Risk Assessment Report; Vulnerability Assessment Reports.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coordinator runs the full procedure twice a year or on major change, pulls IT and dispatch input, and tracks treatment items to closure.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w:t>
            </w:r>
          </w:p>
          <w:p>
            <w:pPr>
              <w:spacing w:after="40" w:before="0"/>
            </w:pPr>
            <w:r>
              <w:rPr>
                <w:rFonts w:ascii="Aptos" w:cs="Aptos" w:eastAsia="Aptos" w:hAnsi="Aptos"/>
                <w:b w:val="false"/>
                <w:bCs w:val="false"/>
                <w:i w:val="false"/>
                <w:iCs w:val="false"/>
                <w:sz w:val="24"/>
                <w:szCs w:val="24"/>
              </w:rPr>
              <w:t xml:space="preserve">NIST SP 800-53 Rev. 5: RA-3, RA-7,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Risk Assessment Procedure - EXAMPLE - M</dc:title>
</cp:coreProperties>
</file>

<file path=docProps/custom.xml><?xml version="1.0" encoding="utf-8"?>
<Properties xmlns="http://schemas.openxmlformats.org/officeDocument/2006/custom-properties" xmlns:vt="http://schemas.openxmlformats.org/officeDocument/2006/docPropsVTypes"/>
</file>