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Cybersecurity &amp;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[Director / Coordinator]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 / CJIS</w:t>
            </w:r>
          </w:p>
          <w:p>
            <w:pPr>
              <w:spacing w:after="0"/>
            </w:pPr>
            <w:r>
              <w:rPr>
                <w:rFonts w:ascii="Aptos" w:cs="Aptos" w:eastAsia="Aptos" w:hAnsi="Aptos"/>
                <w:i/>
                <w:iCs/>
                <w:color w:val="595959"/>
                <w:sz w:val="24"/>
                <w:szCs w:val="24"/>
              </w:rPr>
              <w:t xml:space="preserve">«Minimum for Policy artifacts. Your agency may raise this but not lower it. Append “ / CJIS” if CJIS-regulated data is in scope. Raise to Restricted if this policy embeds specific operational configuration or response logic.»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b w:val="false"/>
          <w:bCs w:val="false"/>
          <w:i w:val="false"/>
          <w:iCs w:val="false"/>
          <w:sz w:val="24"/>
          <w:szCs w:val="24"/>
        </w:rPr>
        <w:t>This policy is [Agency Name]'s top-level governance document for cybersecurity and privacy. It sets the security and privacy controls, responsibilities, and legal commitments that protect the systems and data the Agency uses to receive, process, and dispatch 9-1-1 calls. Every other security and privacy document the Agency maintains operates under this policy and cites it as its parent authority.</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val="false"/>
          <w:bCs w:val="false"/>
          <w:i w:val="false"/>
          <w:iCs w:val="false"/>
          <w:sz w:val="24"/>
          <w:szCs w:val="24"/>
        </w:rPr>
        <w:t>Applies to: all Agency personnel, including full-time and part-time dispatchers, supervisors, and administrative staff, and any contractor or vendor personnel with access to Agency systems or data.</w:t>
      </w:r>
    </w:p>
    <w:p>
      <w:pPr>
        <w:pStyle w:val="ListParagraph"/>
        <w:numPr>
          <w:ilvl w:val="0"/>
          <w:numId w:val="2"/>
        </w:numPr>
        <w:spacing w:after="60"/>
      </w:pPr>
      <w:r>
        <w:rPr>
          <w:rFonts w:ascii="Aptos" w:cs="Aptos" w:eastAsia="Aptos" w:hAnsi="Aptos"/>
          <w:b w:val="false"/>
          <w:bCs w:val="false"/>
          <w:i w:val="false"/>
          <w:iCs w:val="false"/>
          <w:sz w:val="24"/>
          <w:szCs w:val="24"/>
        </w:rPr>
        <w:t>Covers: all systems, networks, applications, and data the Agency owns or operates to support 9-1-1 call handling and dispatch, including CAD, telephony and the ESInet connection, logging and recording systems, GIS, and the endpoints and infrastructure that support them. Covers CJIS-regulated data accessed through IDACS. [Add Agency-specific systems.]</w:t>
      </w:r>
    </w:p>
    <w:p>
      <w:pPr>
        <w:pStyle w:val="ListParagraph"/>
        <w:numPr>
          <w:ilvl w:val="0"/>
          <w:numId w:val="2"/>
        </w:numPr>
        <w:spacing w:after="60"/>
      </w:pPr>
      <w:r>
        <w:rPr>
          <w:rFonts w:ascii="Aptos" w:cs="Aptos" w:eastAsia="Aptos" w:hAnsi="Aptos"/>
          <w:b w:val="false"/>
          <w:bCs w:val="false"/>
          <w:i w:val="false"/>
          <w:iCs w:val="false"/>
          <w:sz w:val="24"/>
          <w:szCs w:val="24"/>
        </w:rPr>
        <w:t>Excludes: [list any systems or data outside this policy, such as systems owned and run solely by another agency under a separate agreement. If none, write "None."]</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val="false"/>
          <w:bCs w:val="false"/>
          <w:i w:val="false"/>
          <w:iCs w:val="false"/>
          <w:sz w:val="24"/>
          <w:szCs w:val="24"/>
        </w:rPr>
        <w:t>CJIS-regulated data: criminal justice information the Agency receives, stores, or transmits through IDACS, subject to the FBI CJIS Security Policy.</w:t>
      </w:r>
    </w:p>
    <w:p>
      <w:pPr>
        <w:pStyle w:val="Heading2"/>
        <w:spacing w:after="100" w:before="220"/>
      </w:pPr>
      <w:r>
        <w:rPr>
          <w:rFonts w:ascii="Aptos" w:cs="Aptos" w:eastAsia="Aptos" w:hAnsi="Aptos"/>
          <w:b/>
          <w:bCs/>
          <w:color w:val="1B3A5C"/>
          <w:sz w:val="26"/>
          <w:szCs w:val="26"/>
        </w:rPr>
        <w:t>4. Regulatory and Legal Authority</w:t>
      </w:r>
    </w:p>
    <w:p>
      <w:pPr>
        <w:spacing w:after="120" w:before="0"/>
      </w:pPr>
      <w:r>
        <w:rPr>
          <w:rFonts w:ascii="Aptos" w:cs="Aptos" w:eastAsia="Aptos" w:hAnsi="Aptos"/>
          <w:b w:val="false"/>
          <w:bCs w:val="false"/>
          <w:i w:val="false"/>
          <w:iCs w:val="false"/>
          <w:sz w:val="24"/>
          <w:szCs w:val="24"/>
        </w:rPr>
        <w:t>[Agency Name] operates under the legal and regulatory regimes below. Each carries obligations that this policy applies to the Agency's controls and procedures. Precise section and control references appear in the Source Authority at the end of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Authority</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Obligation at the policy level</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FBI CJIS Security Policy (reached in Indiana through IDACS)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Protect criminal justice information accessed through IDACS under CJIS handling, access, and personnel-screening requirements.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240 IAC 5 (IDACS rules)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Meet Indiana State Police IDACS security and use rules for any system that connects to IDACS.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HEA 1169 (2021), Indiana cyber incident reporting</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Report cybersecurity incidents to the Indiana Office of Technology within two business days, and designate and annually update a primary reporting contact.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IC 24-4.9, Indiana data breach notification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Notify affected Indiana residents without unreasonable delay, and notify the Indiana Attorney General when more than 500 residents are affected.</w:t>
            </w:r>
          </w:p>
        </w:tc>
      </w:tr>
    </w:tbl>
    <w:p>
      <w:pPr>
        <w:pStyle w:val="Heading2"/>
        <w:spacing w:after="100" w:before="220"/>
      </w:pPr>
      <w:r>
        <w:rPr>
          <w:rFonts w:ascii="Aptos" w:cs="Aptos" w:eastAsia="Aptos" w:hAnsi="Aptos"/>
          <w:b/>
          <w:bCs/>
          <w:color w:val="1B3A5C"/>
          <w:sz w:val="26"/>
          <w:szCs w:val="26"/>
        </w:rPr>
        <w:t>5.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
        </w:numPr>
        <w:spacing w:after="60"/>
      </w:pPr>
      <w:r>
        <w:rPr>
          <w:rFonts w:ascii="Aptos" w:cs="Aptos" w:eastAsia="Aptos" w:hAnsi="Aptos"/>
          <w:b w:val="false"/>
          <w:bCs w:val="false"/>
          <w:i w:val="false"/>
          <w:iCs w:val="false"/>
          <w:sz w:val="24"/>
          <w:szCs w:val="24"/>
        </w:rPr>
        <w:t>The Agency shall maintain cybersecurity and privacy controls aligned to the risks identified for its mission-critical systems, as recorded in the Risk Register.</w:t>
      </w:r>
    </w:p>
    <w:p>
      <w:pPr>
        <w:pStyle w:val="ListParagraph"/>
        <w:numPr>
          <w:ilvl w:val="0"/>
          <w:numId w:val="3"/>
        </w:numPr>
        <w:spacing w:after="60"/>
      </w:pPr>
      <w:r>
        <w:rPr>
          <w:rFonts w:ascii="Aptos" w:cs="Aptos" w:eastAsia="Aptos" w:hAnsi="Aptos"/>
          <w:b w:val="false"/>
          <w:bCs w:val="false"/>
          <w:i w:val="false"/>
          <w:iCs w:val="false"/>
          <w:sz w:val="24"/>
          <w:szCs w:val="24"/>
        </w:rPr>
        <w:t>The Agency shall maintain a current inventory of all hardware, software, and firmware assets in the Master Asset Inventory. The [Director / Coordinator] approves the inventory, and it is reviewed at least [annually].</w:t>
      </w:r>
    </w:p>
    <w:p>
      <w:pPr>
        <w:pStyle w:val="ListParagraph"/>
        <w:numPr>
          <w:ilvl w:val="0"/>
          <w:numId w:val="3"/>
        </w:numPr>
        <w:spacing w:after="60"/>
      </w:pPr>
      <w:r>
        <w:rPr>
          <w:rFonts w:ascii="Aptos" w:cs="Aptos" w:eastAsia="Aptos" w:hAnsi="Aptos"/>
          <w:b w:val="false"/>
          <w:bCs w:val="false"/>
          <w:i w:val="false"/>
          <w:iCs w:val="false"/>
          <w:sz w:val="24"/>
          <w:szCs w:val="24"/>
        </w:rPr>
        <w:t>The Agency shall comply with the regimes listed in Regulatory and Legal Authority and carry their requirements into its controls and procedures.</w:t>
      </w:r>
    </w:p>
    <w:p>
      <w:pPr>
        <w:pStyle w:val="ListParagraph"/>
        <w:numPr>
          <w:ilvl w:val="0"/>
          <w:numId w:val="3"/>
        </w:numPr>
        <w:spacing w:after="60"/>
      </w:pPr>
      <w:r>
        <w:rPr>
          <w:rFonts w:ascii="Aptos" w:cs="Aptos" w:eastAsia="Aptos" w:hAnsi="Aptos"/>
          <w:b w:val="false"/>
          <w:bCs w:val="false"/>
          <w:i w:val="false"/>
          <w:iCs w:val="false"/>
          <w:sz w:val="24"/>
          <w:szCs w:val="24"/>
        </w:rPr>
        <w:t>The Agency shall protect personally identifiable information and CJIS-regulated data, limit access to personnel with a legitimate need, and handle both under the Data Classification Policy and the Document Handling Standard.</w:t>
      </w:r>
    </w:p>
    <w:p>
      <w:pPr>
        <w:pStyle w:val="ListParagraph"/>
        <w:numPr>
          <w:ilvl w:val="0"/>
          <w:numId w:val="3"/>
        </w:numPr>
        <w:spacing w:after="60"/>
      </w:pPr>
      <w:r>
        <w:rPr>
          <w:rFonts w:ascii="Aptos" w:cs="Aptos" w:eastAsia="Aptos" w:hAnsi="Aptos"/>
          <w:b w:val="false"/>
          <w:bCs w:val="false"/>
          <w:i w:val="false"/>
          <w:iCs w:val="false"/>
          <w:sz w:val="24"/>
          <w:szCs w:val="24"/>
        </w:rPr>
        <w:t>On a suspected or confirmed data breach or cybersecurity incident, the Agency shall follow the Incident Response Plan, including the reporting and notification timelines set by HEA 1169 and IC 24-4.9.</w:t>
      </w:r>
    </w:p>
    <w:p>
      <w:pPr>
        <w:pStyle w:val="ListParagraph"/>
        <w:numPr>
          <w:ilvl w:val="0"/>
          <w:numId w:val="3"/>
        </w:numPr>
        <w:spacing w:after="60"/>
      </w:pPr>
      <w:r>
        <w:rPr>
          <w:rFonts w:ascii="Aptos" w:cs="Aptos" w:eastAsia="Aptos" w:hAnsi="Aptos"/>
          <w:b w:val="false"/>
          <w:bCs w:val="false"/>
          <w:i w:val="false"/>
          <w:iCs w:val="false"/>
          <w:sz w:val="24"/>
          <w:szCs w:val="24"/>
        </w:rPr>
        <w:t>The Agency shall provide cybersecurity and privacy awareness training to personnel as required by the Cybersecurity Training Plan and applicable law.</w:t>
      </w:r>
    </w:p>
    <w:p>
      <w:pPr>
        <w:pStyle w:val="ListParagraph"/>
        <w:numPr>
          <w:ilvl w:val="0"/>
          <w:numId w:val="3"/>
        </w:numPr>
        <w:spacing w:after="60"/>
      </w:pPr>
      <w:r>
        <w:rPr>
          <w:rFonts w:ascii="Aptos" w:cs="Aptos" w:eastAsia="Aptos" w:hAnsi="Aptos"/>
          <w:b w:val="false"/>
          <w:bCs w:val="false"/>
          <w:i w:val="false"/>
          <w:iCs w:val="false"/>
          <w:sz w:val="24"/>
          <w:szCs w:val="24"/>
        </w:rPr>
        <w:t>Personnel are responsible for following this policy and the procedures issued under it, protecting their credentials and Agency data, and reporting suspected security or privacy concerns to the [Director / Coordinator].</w:t>
      </w:r>
    </w:p>
    <w:p>
      <w:pPr>
        <w:pStyle w:val="ListParagraph"/>
        <w:numPr>
          <w:ilvl w:val="0"/>
          <w:numId w:val="3"/>
        </w:numPr>
        <w:spacing w:after="60"/>
      </w:pPr>
      <w:r>
        <w:rPr>
          <w:rFonts w:ascii="Aptos" w:cs="Aptos" w:eastAsia="Aptos" w:hAnsi="Aptos"/>
          <w:b w:val="false"/>
          <w:bCs w:val="false"/>
          <w:i w:val="false"/>
          <w:iCs w:val="false"/>
          <w:sz w:val="24"/>
          <w:szCs w:val="24"/>
        </w:rPr>
        <w:t xml:space="preserve">[Add statements as needed.]</w:t>
      </w:r>
    </w:p>
    <w:p>
      <w:pPr>
        <w:pStyle w:val="Heading2"/>
        <w:spacing w:after="100" w:before="220"/>
      </w:pPr>
      <w:r>
        <w:rPr>
          <w:rFonts w:ascii="Aptos" w:cs="Aptos" w:eastAsia="Aptos" w:hAnsi="Aptos"/>
          <w:b/>
          <w:bCs/>
          <w:color w:val="1B3A5C"/>
          <w:sz w:val="26"/>
          <w:szCs w:val="26"/>
        </w:rPr>
        <w:t>6.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Owns this policy and approves the asset inventory and the Agency's controls. Ensures incidents are reported within the required timelines. Authorizes and records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Implements and maintains the technical controls. Keeps the asset inventory current. Supports incident response and recovery.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[Dispatch supervisor]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Applies this policy on shift, ensures staff complete required training, and reports security and privacy concerns.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Follow this policy and the procedures issued under it, protect credentials and data, and report suspected incidents promptly.</w:t>
            </w:r>
          </w:p>
        </w:tc>
      </w:tr>
    </w:tbl>
    <w:p>
      <w:pPr>
        <w:pStyle w:val="Heading2"/>
        <w:spacing w:after="100" w:before="220"/>
      </w:pPr>
      <w:r>
        <w:rPr>
          <w:rFonts w:ascii="Aptos" w:cs="Aptos" w:eastAsia="Aptos" w:hAnsi="Aptos"/>
          <w:b/>
          <w:bCs/>
          <w:color w:val="1B3A5C"/>
          <w:sz w:val="26"/>
          <w:szCs w:val="26"/>
        </w:rPr>
        <w:t>7.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b w:val="false"/>
          <w:bCs w:val="false"/>
          <w:i w:val="false"/>
          <w:iCs w:val="false"/>
          <w:sz w:val="24"/>
          <w:szCs w:val="24"/>
        </w:rPr>
        <w:t>The [Director / Coordinator] monitors compliance with this policy. Violations are handled under the Agency's [personnel / corrective-action process]. Repeated or willful violations may result in loss of system access and disciplinary action. Where a violation involves CJIS-regulated data, the Agency also follows the reporting requirements of the CJIS Security Policy and IDACS.</w:t>
      </w:r>
    </w:p>
    <w:p>
      <w:pPr>
        <w:pStyle w:val="Heading2"/>
        <w:spacing w:after="100" w:before="220"/>
      </w:pPr>
      <w:r>
        <w:rPr>
          <w:rFonts w:ascii="Aptos" w:cs="Aptos" w:eastAsia="Aptos" w:hAnsi="Aptos"/>
          <w:b/>
          <w:bCs/>
          <w:color w:val="1B3A5C"/>
          <w:sz w:val="26"/>
          <w:szCs w:val="26"/>
        </w:rPr>
        <w:t>8.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b w:val="false"/>
          <w:bCs w:val="false"/>
          <w:i w:val="false"/>
          <w:iCs w:val="false"/>
          <w:sz w:val="24"/>
          <w:szCs w:val="24"/>
        </w:rPr>
        <w:t>Exceptions to this policy require written approval from the [Director / Coordinator]. A request must state the control affected, the reason, any compensating measures, and an end date. Approved exceptions are recorded in the Risk Register and reviewed at least [annually] or when the underlying condition changes.</w:t>
      </w:r>
    </w:p>
    <w:p>
      <w:pPr>
        <w:pStyle w:val="Heading2"/>
        <w:spacing w:after="100" w:before="220"/>
      </w:pPr>
      <w:r>
        <w:rPr>
          <w:rFonts w:ascii="Aptos" w:cs="Aptos" w:eastAsia="Aptos" w:hAnsi="Aptos"/>
          <w:b/>
          <w:bCs/>
          <w:color w:val="1B3A5C"/>
          <w:sz w:val="26"/>
          <w:szCs w:val="26"/>
        </w:rPr>
        <w:t>9.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b w:val="false"/>
          <w:bCs w:val="false"/>
          <w:i w:val="false"/>
          <w:iCs w:val="false"/>
          <w:sz w:val="24"/>
          <w:szCs w:val="24"/>
        </w:rPr>
        <w:t>This policy is reviewed at least annually and after any significant change to the Agency's systems, threats, or legal obligations, by the [Director / Coordinator]. Each review and approval is recorded in the Policy Review &amp; Approval Log.</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Adopt this policy as written and fill the brackets. The director owns it and approves the asset inventory directly. County or vendor IT carries out the technical controls under the IT Support Accountability Agreement. An annual review is enough; revisit after any incident or major system change.</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Assign a named security coordinator to keep the asset inventory current and track exceptions. Tie enforcement to the county's corrective-action process. Review twice a year if systems change often.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Run this policy as part of a formal program. The information security role maintains the inventory, the control-to-risk mapping, and the exception register, and reports policy status to leadership on a set schedule.</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b w:val="false"/>
          <w:bCs w:val="false"/>
          <w:i w:val="false"/>
          <w:iCs w:val="false"/>
          <w:sz w:val="24"/>
          <w:szCs w:val="24"/>
        </w:rPr>
        <w:t>CJIS Handling: This policy governs systems that contain CJIS-regulated data, reached in Indiana through IDACS. Apply the FBI CJIS Security Policy v[5.9] and 240 IAC 5 in addition to the controls above.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false"/>
                <w:bCs w:val="false"/>
                <w:i w:val="false"/>
                <w:iCs w:val="false"/>
                <w:sz w:val="24"/>
                <w:szCs w:val="24"/>
              </w:rPr>
              <w:t>NENA-STA-040.2-2024: §4.1, §4.3, §5.4</w:t>
            </w:r>
          </w:p>
          <w:p>
            <w:pPr>
              <w:spacing w:after="40" w:before="0"/>
            </w:pPr>
            <w:r>
              <w:rPr>
                <w:rFonts w:ascii="Aptos" w:cs="Aptos" w:eastAsia="Aptos" w:hAnsi="Aptos"/>
                <w:b w:val="false"/>
                <w:bCs w:val="false"/>
                <w:i w:val="false"/>
                <w:iCs w:val="false"/>
                <w:sz w:val="24"/>
                <w:szCs w:val="24"/>
              </w:rPr>
              <w:t>NIST SP 800-53 Rev. 5: CM-8, PL-1, PM-1, PM-5, PM-9, PT-1, RA-1, RA-3</w:t>
            </w:r>
          </w:p>
          <w:p>
            <w:pPr>
              <w:spacing w:after="40" w:before="0"/>
            </w:pPr>
            <w:r>
              <w:rPr>
                <w:rFonts w:ascii="Aptos" w:cs="Aptos" w:eastAsia="Aptos" w:hAnsi="Aptos"/>
                <w:b w:val="false"/>
                <w:bCs w:val="false"/>
                <w:i w:val="false"/>
                <w:iCs w:val="false"/>
                <w:sz w:val="24"/>
                <w:szCs w:val="24"/>
              </w:rPr>
              <w:t>Indiana statutes and administrative code:</w:t>
            </w:r>
          </w:p>
          <w:p>
            <w:pPr>
              <w:spacing w:after="40" w:before="0"/>
            </w:pPr>
            <w:r>
              <w:rPr>
                <w:rFonts w:ascii="Aptos" w:cs="Aptos" w:eastAsia="Aptos" w:hAnsi="Aptos"/>
                <w:b w:val="false"/>
                <w:bCs w:val="false"/>
                <w:i w:val="false"/>
                <w:iCs w:val="false"/>
                <w:sz w:val="24"/>
                <w:szCs w:val="24"/>
              </w:rPr>
              <w:t xml:space="preserve">    HEA 1169 (2021): Cyber Incident Reporting to IOT</w:t>
            </w:r>
          </w:p>
          <w:p>
            <w:pPr>
              <w:spacing w:after="40" w:before="0"/>
            </w:pPr>
            <w:r>
              <w:rPr>
                <w:rFonts w:ascii="Aptos" w:cs="Aptos" w:eastAsia="Aptos" w:hAnsi="Aptos"/>
                <w:b w:val="false"/>
                <w:bCs w:val="false"/>
                <w:i w:val="false"/>
                <w:iCs w:val="false"/>
                <w:sz w:val="24"/>
                <w:szCs w:val="24"/>
              </w:rPr>
              <w:t xml:space="preserve">    IC 24-4.9: Data Breach Notification</w:t>
            </w:r>
          </w:p>
          <w:p>
            <w:pPr>
              <w:spacing w:after="40" w:before="0"/>
            </w:pPr>
            <w:r>
              <w:rPr>
                <w:rFonts w:ascii="Aptos" w:cs="Aptos" w:eastAsia="Aptos" w:hAnsi="Aptos"/>
                <w:b w:val="false"/>
                <w:bCs w:val="false"/>
                <w:i w:val="false"/>
                <w:iCs w:val="false"/>
                <w:sz w:val="24"/>
                <w:szCs w:val="24"/>
              </w:rPr>
              <w:t xml:space="preserve">    240 IAC 5: IDACS Security</w:t>
            </w:r>
          </w:p>
          <w:p>
            <w:pPr>
              <w:spacing w:after="0" w:before="0"/>
            </w:pPr>
            <w:r>
              <w:rPr>
                <w:rFonts w:ascii="Aptos" w:cs="Aptos" w:eastAsia="Aptos" w:hAnsi="Aptos"/>
                <w:b w:val="false"/>
                <w:bCs w:val="false"/>
                <w:i w:val="false"/>
                <w:iCs w:val="false"/>
                <w:sz w:val="24"/>
                <w:szCs w:val="24"/>
              </w:rPr>
              <w:t>CJIS Security Policy v5.9: §5.1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Confirm the CJIS Security Policy section reference in the Source Authority against the version in force for the systems the Agency connects to IDACS. §5.1 (Information Exchange Agreements) is cited as the baseline; extend to access-control, training, or personnel-security sections if the Agency's scope reaches them.</w:t>
            </w:r>
          </w:p>
          <w:p>
            <w:pPr>
              <w:spacing w:after="140"/>
            </w:pPr>
            <w:r>
              <w:rPr>
                <w:rFonts w:ascii="Aptos" w:cs="Aptos" w:eastAsia="Aptos" w:hAnsi="Aptos"/>
                <w:i/>
                <w:iCs/>
                <w:color w:val="595959"/>
                <w:sz w:val="24"/>
                <w:szCs w:val="24"/>
              </w:rPr>
              <w:t>Cross-referenced artifacts use their Tracker names: Risk Register, Master Asset Inventory, Data Classification Policy, Document Handling Standard, Incident Response Plan, Cybersecurity Training Plan, Policy Review &amp; Approval Log, IT Support Accountability Agreement. Confirm names hold when those artifacts are finalized.</w:t>
            </w:r>
          </w:p>
          <w:p>
            <w:pPr>
              <w:spacing w:after="140"/>
            </w:pPr>
            <w:r>
              <w:rPr>
                <w:rFonts w:ascii="Aptos" w:cs="Aptos" w:eastAsia="Aptos" w:hAnsi="Aptos"/>
                <w:i/>
                <w:iCs/>
                <w:color w:val="595959"/>
                <w:sz w:val="24"/>
                <w:szCs w:val="24"/>
              </w:rPr>
              <w:t>Agency-supplied values left in brackets: [Agency Name], signing official, owner role, version, effective and review dates, and the asset-inventory and exception review cadences.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Cybersecurity &amp; Privacy Policy - FORM</dc:title>
</cp:coreProperties>
</file>

<file path=docProps/custom.xml><?xml version="1.0" encoding="utf-8"?>
<Properties xmlns="http://schemas.openxmlformats.org/officeDocument/2006/custom-properties" xmlns:vt="http://schemas.openxmlformats.org/officeDocument/2006/docPropsVTypes"/>
</file>