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false"/>
          <w:iCs w:val="false"/>
          <w:color w:val="1B3A5C"/>
          <w:sz w:val="40"/>
          <w:szCs w:val="40"/>
        </w:rPr>
        <w:t xml:space="preserve">Risk Assessment Report</w:t>
      </w:r>
    </w:p>
    <w:p>
      <w:pPr>
        <w:spacing w:after="140"/>
      </w:pPr>
      <w:r>
        <w:rPr>
          <w:rFonts w:ascii="Aptos" w:cs="Aptos" w:eastAsia="Aptos" w:hAnsi="Aptos"/>
          <w:b w:val="false"/>
          <w:bCs w:val="false"/>
          <w:i/>
          <w:iCs/>
          <w:color w:val="595959"/>
          <w:sz w:val="24"/>
          <w:szCs w:val="24"/>
        </w:rPr>
        <w:t xml:space="preserve">Documents one formal risk assessment: what was assessed, how, the threats and failure modes weighed, and the scored impacts that drive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40"/>
            </w:pPr>
            <w:r>
              <w:rPr>
                <w:rFonts w:ascii="Aptos" w:cs="Aptos" w:eastAsia="Aptos" w:hAnsi="Aptos"/>
                <w:b/>
                <w:bCs/>
                <w:i w:val="false"/>
                <w:iCs w:val="false"/>
                <w:color w:val="000000"/>
                <w:sz w:val="24"/>
                <w:szCs w:val="24"/>
              </w:rPr>
              <w:t xml:space="preserve">Assessment date: </w:t>
            </w:r>
            <w:r>
              <w:rPr>
                <w:rFonts w:ascii="Aptos" w:cs="Aptos" w:eastAsia="Aptos" w:hAnsi="Aptos"/>
                <w:b w:val="false"/>
                <w:bCs w:val="false"/>
                <w:i w:val="false"/>
                <w:iCs w:val="false"/>
                <w:color w:val="000000"/>
                <w:sz w:val="24"/>
                <w:szCs w:val="24"/>
              </w:rPr>
              <w:t xml:space="preserve">[date]      </w:t>
            </w:r>
            <w:r>
              <w:rPr>
                <w:rFonts w:ascii="Aptos" w:cs="Aptos" w:eastAsia="Aptos" w:hAnsi="Aptos"/>
                <w:b/>
                <w:bCs/>
                <w:i w:val="false"/>
                <w:iCs w:val="false"/>
                <w:color w:val="000000"/>
                <w:sz w:val="24"/>
                <w:szCs w:val="24"/>
              </w:rPr>
              <w:t xml:space="preserve">Assessor (role): </w:t>
            </w:r>
            <w:r>
              <w:rPr>
                <w:rFonts w:ascii="Aptos" w:cs="Aptos" w:eastAsia="Aptos" w:hAnsi="Aptos"/>
                <w:b w:val="false"/>
                <w:bCs w:val="false"/>
                <w:i w:val="false"/>
                <w:iCs w:val="false"/>
                <w:color w:val="000000"/>
                <w:sz w:val="24"/>
                <w:szCs w:val="24"/>
              </w:rPr>
              <w:t xml:space="preserve">[role]</w:t>
            </w:r>
          </w:p>
          <w:p>
            <w:pPr>
              <w:spacing w:after="40"/>
            </w:pPr>
            <w:r>
              <w:rPr>
                <w:rFonts w:ascii="Aptos" w:cs="Aptos" w:eastAsia="Aptos" w:hAnsi="Aptos"/>
                <w:b/>
                <w:bCs/>
                <w:i w:val="false"/>
                <w:iCs w:val="false"/>
                <w:color w:val="000000"/>
                <w:sz w:val="24"/>
                <w:szCs w:val="24"/>
              </w:rPr>
              <w:t xml:space="preserve">Scope (systems / processes assessed): </w:t>
            </w:r>
            <w:r>
              <w:rPr>
                <w:rFonts w:ascii="Aptos" w:cs="Aptos" w:eastAsia="Aptos" w:hAnsi="Aptos"/>
                <w:b w:val="false"/>
                <w:bCs w:val="false"/>
                <w:i w:val="false"/>
                <w:iCs w:val="false"/>
                <w:color w:val="000000"/>
                <w:sz w:val="24"/>
                <w:szCs w:val="24"/>
              </w:rPr>
              <w:t xml:space="preserve">[name the public-safety systems in scope: CAD, ESInet/NGCS, radio, ALI/GIS, recording, network]</w:t>
            </w:r>
          </w:p>
          <w:p>
            <w:pPr>
              <w:spacing w:after="40"/>
            </w:pPr>
            <w:r>
              <w:rPr>
                <w:rFonts w:ascii="Aptos" w:cs="Aptos" w:eastAsia="Aptos" w:hAnsi="Aptos"/>
                <w:b/>
                <w:bCs/>
                <w:i w:val="false"/>
                <w:iCs w:val="false"/>
                <w:color w:val="000000"/>
                <w:sz w:val="24"/>
                <w:szCs w:val="24"/>
              </w:rPr>
              <w:t xml:space="preserve">Facility and environmental scope: </w:t>
            </w:r>
            <w:r>
              <w:rPr>
                <w:rFonts w:ascii="Aptos" w:cs="Aptos" w:eastAsia="Aptos" w:hAnsi="Aptos"/>
                <w:b w:val="false"/>
                <w:bCs w:val="false"/>
                <w:i w:val="false"/>
                <w:iCs w:val="false"/>
                <w:color w:val="000000"/>
                <w:sz w:val="24"/>
                <w:szCs w:val="24"/>
              </w:rPr>
              <w:t xml:space="preserve">[fire, flood, temperature, utility/power, EMP, and other facility hazards assessed]</w:t>
            </w:r>
          </w:p>
          <w:p>
            <w:pPr>
              <w:spacing w:after="40"/>
            </w:pPr>
            <w:r>
              <w:rPr>
                <w:rFonts w:ascii="Aptos" w:cs="Aptos" w:eastAsia="Aptos" w:hAnsi="Aptos"/>
                <w:b/>
                <w:bCs/>
                <w:i w:val="false"/>
                <w:iCs w:val="false"/>
                <w:color w:val="000000"/>
                <w:sz w:val="24"/>
                <w:szCs w:val="24"/>
              </w:rPr>
              <w:t xml:space="preserve">Assessment period: </w:t>
            </w:r>
            <w:r>
              <w:rPr>
                <w:rFonts w:ascii="Aptos" w:cs="Aptos" w:eastAsia="Aptos" w:hAnsi="Aptos"/>
                <w:b w:val="false"/>
                <w:bCs w:val="false"/>
                <w:i w:val="false"/>
                <w:iCs w:val="false"/>
                <w:color w:val="000000"/>
                <w:sz w:val="24"/>
                <w:szCs w:val="24"/>
              </w:rPr>
              <w:t xml:space="preserve">[start] to [end]</w:t>
            </w:r>
          </w:p>
          <w:p>
            <w:pPr>
              <w:spacing w:after="40"/>
            </w:pPr>
            <w:r>
              <w:rPr>
                <w:rFonts w:ascii="Aptos" w:cs="Aptos" w:eastAsia="Aptos" w:hAnsi="Aptos"/>
                <w:b/>
                <w:bCs/>
                <w:i w:val="false"/>
                <w:iCs w:val="false"/>
                <w:color w:val="000000"/>
                <w:sz w:val="24"/>
                <w:szCs w:val="24"/>
              </w:rPr>
              <w:t xml:space="preserve">Owner: </w:t>
            </w:r>
            <w:r>
              <w:rPr>
                <w:rFonts w:ascii="Aptos" w:cs="Aptos" w:eastAsia="Aptos" w:hAnsi="Aptos"/>
                <w:b w:val="false"/>
                <w:bCs w:val="false"/>
                <w:i w:val="false"/>
                <w:iCs w:val="false"/>
                <w:color w:val="000000"/>
                <w:sz w:val="24"/>
                <w:szCs w:val="24"/>
              </w:rPr>
              <w:t xml:space="preserve">[role]</w:t>
            </w:r>
          </w:p>
          <w:p>
            <w:pPr>
              <w:spacing w:after="40"/>
            </w:pPr>
            <w:r>
              <w:rPr>
                <w:rFonts w:ascii="Aptos" w:cs="Aptos" w:eastAsia="Aptos" w:hAnsi="Aptos"/>
                <w:b/>
                <w:bCs/>
                <w:i w:val="false"/>
                <w:iCs w:val="false"/>
                <w:color w:val="000000"/>
                <w:sz w:val="24"/>
                <w:szCs w:val="24"/>
              </w:rPr>
              <w:t xml:space="preserve">Classification: </w:t>
            </w:r>
            <w:r>
              <w:rPr>
                <w:rFonts w:ascii="Aptos" w:cs="Aptos" w:eastAsia="Aptos" w:hAnsi="Aptos"/>
                <w:b w:val="false"/>
                <w:bCs w:val="false"/>
                <w:i w:val="false"/>
                <w:iCs w:val="false"/>
                <w:color w:val="000000"/>
                <w:sz w:val="24"/>
                <w:szCs w:val="24"/>
              </w:rPr>
              <w:t xml:space="preserve">Restricted</w:t>
            </w:r>
            <w:r>
              <w:rPr>
                <w:rFonts w:ascii="Aptos" w:cs="Aptos" w:eastAsia="Aptos" w:hAnsi="Aptos"/>
                <w:i/>
                <w:iCs/>
                <w:color w:val="595959"/>
                <w:sz w:val="24"/>
                <w:szCs w:val="24"/>
              </w:rPr>
              <w:t xml:space="preserve">   « Minimum for this artifact. Raise to Confidential if the report names individuals as subjects.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60"/>
            </w:pPr>
            <w:r>
              <w:rPr>
                <w:rFonts w:ascii="Aptos" w:cs="Aptos" w:eastAsia="Aptos" w:hAnsi="Aptos"/>
                <w:color w:val="595959"/>
                <w:sz w:val="24"/>
                <w:szCs w:val="24"/>
              </w:rPr>
              <w:t xml:space="preserve">This template is ready to adopt. Replace every [BRACKETED] field with your agency's information, follow the « » guidance notes, and complete every required (bold) field. Delete every « » note before publishing.</w:t>
            </w:r>
          </w:p>
          <w:p>
            <w:pPr>
              <w:spacing w:after="60"/>
            </w:pPr>
            <w:r>
              <w:rPr>
                <w:rFonts w:ascii="Aptos" w:cs="Aptos" w:eastAsia="Aptos" w:hAnsi="Aptos"/>
                <w:b/>
                <w:bCs/>
                <w:i w:val="false"/>
                <w:iCs w:val="false"/>
                <w:color w:val="000000"/>
                <w:sz w:val="24"/>
                <w:szCs w:val="24"/>
              </w:rPr>
              <w:t xml:space="preserve">Placeholder key:  </w:t>
            </w:r>
            <w:r>
              <w:rPr>
                <w:rFonts w:ascii="Aptos" w:cs="Aptos" w:eastAsia="Aptos" w:hAnsi="Aptos"/>
                <w:b w:val="false"/>
                <w:bCs w:val="false"/>
                <w:i w:val="false"/>
                <w:iCs w:val="false"/>
                <w:color w:val="000000"/>
                <w:sz w:val="24"/>
                <w:szCs w:val="24"/>
              </w:rPr>
              <w:t xml:space="preserve">[BRACKETED]</w:t>
            </w:r>
            <w:r>
              <w:rPr>
                <w:rFonts w:ascii="Aptos" w:cs="Aptos" w:eastAsia="Aptos" w:hAnsi="Aptos"/>
                <w:b w:val="false"/>
                <w:bCs w:val="false"/>
                <w:i w:val="false"/>
                <w:iCs w:val="false"/>
                <w:color w:val="000000"/>
                <w:sz w:val="24"/>
                <w:szCs w:val="24"/>
              </w:rPr>
              <w:t xml:space="preserve">  = fill in   ·   </w:t>
            </w:r>
            <w:r>
              <w:rPr>
                <w:rFonts w:ascii="Aptos" w:cs="Aptos" w:eastAsia="Aptos" w:hAnsi="Aptos"/>
                <w:b/>
                <w:bCs/>
                <w:i w:val="false"/>
                <w:iCs w:val="false"/>
                <w:color w:val="000000"/>
                <w:sz w:val="24"/>
                <w:szCs w:val="24"/>
              </w:rPr>
              <w:t xml:space="preserve">[REQUIRED]</w:t>
            </w:r>
            <w:r>
              <w:rPr>
                <w:rFonts w:ascii="Aptos" w:cs="Aptos" w:eastAsia="Aptos" w:hAnsi="Aptos"/>
                <w:b w:val="false"/>
                <w:bCs w:val="false"/>
                <w:i w:val="false"/>
                <w:iCs w:val="false"/>
                <w:color w:val="000000"/>
                <w:sz w:val="24"/>
                <w:szCs w:val="24"/>
              </w:rPr>
              <w:t xml:space="preserve"> (bold) = required field   ·   </w:t>
            </w:r>
            <w:r>
              <w:rPr>
                <w:rFonts w:ascii="Aptos" w:cs="Aptos" w:eastAsia="Aptos" w:hAnsi="Aptos"/>
                <w:color w:val="595959"/>
                <w:sz w:val="24"/>
                <w:szCs w:val="24"/>
              </w:rPr>
              <w:t xml:space="preserve">« »</w:t>
            </w:r>
            <w:r>
              <w:rPr>
                <w:rFonts w:ascii="Aptos" w:cs="Aptos" w:eastAsia="Aptos" w:hAnsi="Aptos"/>
                <w:b w:val="false"/>
                <w:bCs w:val="false"/>
                <w:i w:val="false"/>
                <w:iCs w:val="false"/>
                <w:color w:val="000000"/>
                <w:sz w:val="24"/>
                <w:szCs w:val="24"/>
              </w:rPr>
              <w:t xml:space="preserve"> = guidance to delete.</w:t>
            </w:r>
          </w:p>
          <w:p>
            <w:pPr>
              <w:spacing w:after="0"/>
            </w:pPr>
            <w:r>
              <w:rPr>
                <w:rFonts w:ascii="Aptos" w:cs="Aptos" w:eastAsia="Aptos" w:hAnsi="Apto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pPr>
      <w:r>
        <w:t xml:space="preserve">1. Executive Summary</w:t>
      </w:r>
    </w:p>
    <w:p>
      <w:pPr>
        <w:spacing w:after="80"/>
      </w:pPr>
      <w:r>
        <w:rPr>
          <w:rFonts w:ascii="Aptos" w:cs="Aptos" w:eastAsia="Aptos" w:hAnsi="Aptos"/>
          <w:b w:val="false"/>
          <w:bCs w:val="false"/>
          <w:i/>
          <w:iCs/>
          <w:color w:val="595959"/>
          <w:sz w:val="24"/>
          <w:szCs w:val="24"/>
        </w:rPr>
        <w:t xml:space="preserve">« Three or four sentences a director can act on: what was assessed, the headline result, the most important finding. Write this last. »</w:t>
      </w:r>
    </w:p>
    <w:p>
      <w:pPr>
        <w:spacing w:after="80"/>
      </w:pPr>
      <w:r>
        <w:rPr>
          <w:rFonts w:ascii="Aptos" w:cs="Aptos" w:eastAsia="Aptos" w:hAnsi="Aptos"/>
          <w:b w:val="false"/>
          <w:bCs w:val="false"/>
          <w:i w:val="false"/>
          <w:iCs w:val="false"/>
          <w:color w:val="000000"/>
          <w:sz w:val="24"/>
          <w:szCs w:val="24"/>
        </w:rPr>
        <w:t xml:space="preserve">[Executive summary.]</w:t>
      </w:r>
    </w:p>
    <w:p>
      <w:pPr>
        <w:pStyle w:val="Heading2"/>
      </w:pPr>
      <w:r>
        <w:t xml:space="preserve">2. Methodology</w:t>
      </w:r>
    </w:p>
    <w:p>
      <w:pPr>
        <w:spacing w:after="80"/>
      </w:pPr>
      <w:r>
        <w:rPr>
          <w:rFonts w:ascii="Aptos" w:cs="Aptos" w:eastAsia="Aptos" w:hAnsi="Aptos"/>
          <w:b w:val="false"/>
          <w:bCs w:val="false"/>
          <w:i/>
          <w:iCs/>
          <w:color w:val="595959"/>
          <w:sz w:val="24"/>
          <w:szCs w:val="24"/>
        </w:rPr>
        <w:t xml:space="preserve">« How the assessment was run and how impact was scored. Keep it brief; this report is the output of running the Risk Assessment Procedure. »</w:t>
      </w:r>
    </w:p>
    <w:p>
      <w:pPr>
        <w:spacing w:after="80"/>
      </w:pPr>
      <w:r>
        <w:rPr>
          <w:rFonts w:ascii="Aptos" w:cs="Aptos" w:eastAsia="Aptos" w:hAnsi="Aptos"/>
          <w:b w:val="false"/>
          <w:bCs w:val="false"/>
          <w:i w:val="false"/>
          <w:iCs w:val="false"/>
          <w:color w:val="000000"/>
          <w:sz w:val="24"/>
          <w:szCs w:val="24"/>
        </w:rPr>
        <w:t xml:space="preserve">Methods used: interviews, configuration and vulnerability scans, document review, tabletop walk-through, site inspection.</w:t>
      </w:r>
    </w:p>
    <w:p>
      <w:pPr>
        <w:spacing w:after="80"/>
      </w:pPr>
      <w:r>
        <w:rPr>
          <w:rFonts w:ascii="Aptos" w:cs="Aptos" w:eastAsia="Aptos" w:hAnsi="Aptos"/>
          <w:b w:val="false"/>
          <w:bCs w:val="false"/>
          <w:i w:val="false"/>
          <w:iCs w:val="false"/>
          <w:color w:val="000000"/>
          <w:sz w:val="24"/>
          <w:szCs w:val="24"/>
        </w:rPr>
        <w:t xml:space="preserve">Impact scoring: each risk is scored on three axes: effect on service (call handling and dispatch continuity), effect on data (confidentiality and integrity), and effect on life safety. [State the scale used, e.g., High / Medium / Low per axis, and how the axes combine into the Impact column below.]</w:t>
      </w:r>
    </w:p>
    <w:p>
      <w:pPr>
        <w:spacing w:after="80"/>
      </w:pPr>
      <w:r>
        <w:rPr>
          <w:rFonts w:ascii="Aptos" w:cs="Aptos" w:eastAsia="Aptos" w:hAnsi="Aptos"/>
          <w:b w:val="false"/>
          <w:bCs w:val="false"/>
          <w:i w:val="false"/>
          <w:iCs w:val="false"/>
          <w:color w:val="000000"/>
          <w:sz w:val="24"/>
          <w:szCs w:val="24"/>
        </w:rPr>
        <w:t xml:space="preserve">Participants: [roles consulted]. Reference: Risk Management Methodology Standard and Risk Assessment Procedure.</w:t>
      </w:r>
    </w:p>
    <w:p>
      <w:pPr>
        <w:pStyle w:val="Heading2"/>
      </w:pPr>
      <w:r>
        <w:t xml:space="preserve">3. Threats and Failure Modes Considered</w:t>
      </w:r>
    </w:p>
    <w:p>
      <w:pPr>
        <w:spacing w:after="80"/>
      </w:pPr>
      <w:r>
        <w:rPr>
          <w:rFonts w:ascii="Aptos" w:cs="Aptos" w:eastAsia="Aptos" w:hAnsi="Aptos"/>
          <w:b w:val="false"/>
          <w:bCs w:val="false"/>
          <w:i/>
          <w:iCs/>
          <w:color w:val="595959"/>
          <w:sz w:val="24"/>
          <w:szCs w:val="24"/>
        </w:rPr>
        <w:t xml:space="preserve">« The threats and failure modes weighed in this assessment. Include facility and environmental hazards explicitly.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Category</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Threats / failure modes considered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Cyber / technical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[e.g., ransomware, credential compromise, CAD/ESInet outage, TDoS/DoS, misconfiguration]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Personnel / process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[e.g., insider error, untrained staff, vendor access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Facility / environmental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[fire, flood, temperature, utility/power loss, EMP, physical intrusion]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Third-party / supply chain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[e.g., vendor outage, compromised update, single-carrier dependency]</w:t>
            </w:r>
          </w:p>
        </w:tc>
      </w:tr>
    </w:tbl>
    <w:p>
      <w:pPr>
        <w:pStyle w:val="Heading2"/>
      </w:pPr>
      <w:r>
        <w:t xml:space="preserve">4. Findings</w:t>
      </w:r>
    </w:p>
    <w:p>
      <w:pPr>
        <w:spacing w:after="80"/>
      </w:pPr>
      <w:r>
        <w:rPr>
          <w:rFonts w:ascii="Aptos" w:cs="Aptos" w:eastAsia="Aptos" w:hAnsi="Aptos"/>
          <w:b w:val="false"/>
          <w:bCs w:val="false"/>
          <w:i/>
          <w:iCs/>
          <w:color w:val="595959"/>
          <w:sz w:val="24"/>
          <w:szCs w:val="24"/>
        </w:rPr>
        <w:t xml:space="preserve">« One row per finding. Score impact on each axis (Service / Data / Life safety), then give an overall rating. Keep the recommendation specific.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60"/>
        <w:gridCol w:w="900"/>
        <w:gridCol w:w="900"/>
        <w:gridCol w:w="1100"/>
        <w:gridCol w:w="1000"/>
        <w:gridCol w:w="1800"/>
      </w:tblGrid>
      <w:tr>
        <w:trPr>
          <w:cantSplit/>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ID</w:t>
            </w:r>
          </w:p>
        </w:tc>
        <w:tc>
          <w:tcPr>
            <w:tcW w:type="dxa" w:w="2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w:t>
            </w:r>
          </w:p>
        </w:tc>
        <w:tc>
          <w:tcPr>
            <w:tcW w:type="dxa" w:w="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Service</w:t>
            </w:r>
          </w:p>
        </w:tc>
        <w:tc>
          <w:tcPr>
            <w:tcW w:type="dxa" w:w="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w:t>
            </w:r>
          </w:p>
        </w:tc>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Life safety</w:t>
            </w:r>
          </w:p>
        </w:tc>
        <w:tc>
          <w:tcPr>
            <w:tcW w:type="dxa" w:w="1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Overall</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Recommendation</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F-01</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[finding]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[H/M/L]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[H/M/L]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[H/M/L]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[H/M/L]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[recommendation]</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F-02</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[finding]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[H/M/L]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[H/M/L]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[H/M/L]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[H/M/L]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[recommendation]</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[Add findings as needed.]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r>
    </w:tbl>
    <w:p>
      <w:pPr>
        <w:pStyle w:val="Heading2"/>
      </w:pPr>
      <w:r>
        <w:t xml:space="preserve">5. Prioritization and Handoff</w:t>
      </w:r>
    </w:p>
    <w:p>
      <w:pPr>
        <w:spacing w:after="80"/>
      </w:pPr>
      <w:r>
        <w:rPr>
          <w:rFonts w:ascii="Aptos" w:cs="Aptos" w:eastAsia="Aptos" w:hAnsi="Aptos"/>
          <w:b w:val="false"/>
          <w:bCs w:val="false"/>
          <w:i/>
          <w:iCs/>
          <w:color w:val="595959"/>
          <w:sz w:val="24"/>
          <w:szCs w:val="24"/>
        </w:rPr>
        <w:t xml:space="preserve">« This report does not track remediation. Record how findings were prioritized, then hand them off. »</w:t>
      </w:r>
    </w:p>
    <w:p>
      <w:pPr>
        <w:spacing w:after="80"/>
      </w:pPr>
      <w:r>
        <w:rPr>
          <w:rFonts w:ascii="Aptos" w:cs="Aptos" w:eastAsia="Aptos" w:hAnsi="Aptos"/>
          <w:b w:val="false"/>
          <w:bCs w:val="false"/>
          <w:i w:val="false"/>
          <w:iCs w:val="false"/>
          <w:color w:val="000000"/>
          <w:sz w:val="24"/>
          <w:szCs w:val="24"/>
        </w:rPr>
        <w:t xml:space="preserve">Findings are prioritized by life-safety and service-continuity impact. Each open finding is entered into the Risk / Finding Register (POA&amp;M) for tracking to closure, and each material risk is recorded in the Risk Register with its treatment decision. This report is not a remediation tracker; the POA&amp;M is the single source of truth for finding status.</w:t>
      </w:r>
    </w:p>
    <w:p>
      <w:pPr>
        <w:spacing w:after="80"/>
      </w:pPr>
      <w:r>
        <w:rPr>
          <w:rFonts w:ascii="Aptos" w:cs="Aptos" w:eastAsia="Aptos" w:hAnsi="Aptos"/>
          <w:b w:val="false"/>
          <w:bCs w:val="false"/>
          <w:i w:val="false"/>
          <w:iCs w:val="false"/>
          <w:color w:val="000000"/>
          <w:sz w:val="24"/>
          <w:szCs w:val="24"/>
        </w:rPr>
        <w:t xml:space="preserve">Prioritized order for handoff: [list finding IDs in priority order, or state the prioritization rule applied].</w:t>
      </w:r>
    </w:p>
    <w:p>
      <w:pPr>
        <w:pStyle w:val="Heading2"/>
      </w:pPr>
      <w:r>
        <w:t xml:space="preserve">Profile Scaling Notes</w:t>
      </w:r>
    </w:p>
    <w:p>
      <w:pPr>
        <w:spacing w:after="80"/>
      </w:pPr>
      <w:r>
        <w:rPr>
          <w:rFonts w:ascii="Aptos" w:cs="Aptos" w:eastAsia="Aptos" w:hAnsi="Aptos"/>
          <w:b w:val="false"/>
          <w:bCs w:val="false"/>
          <w:i/>
          <w:iCs/>
          <w:color w:val="595959"/>
          <w:sz w:val="24"/>
          <w:szCs w:val="24"/>
        </w:rPr>
        <w:t xml:space="preserve">One short paragraph per profile: what minimum-viable looks like for that reader and where to scale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 short interview-and-checklist assessment run annually with county or vendor IT, covering the named systems and the facility hazards. Manual scoring on the three axes; no scanning tool required.]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[Add basic vulnerability scanning and a tabletop element. Shared IT participates; the security coordinator owns scoring and handoff to the POA&amp;M.]</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[Formal scheduled assessment with scanning, tabletop exercises, and documented methodology; results feed program-level risk management.]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80"/>
            </w:pPr>
            <w:r>
              <w:rPr>
                <w:rFonts w:ascii="Aptos" w:cs="Aptos" w:eastAsia="Aptos" w:hAnsi="Aptos"/>
                <w:b w:val="false"/>
                <w:bCs w:val="false"/>
                <w:i/>
                <w:iCs/>
                <w:color w:val="595959"/>
                <w:sz w:val="24"/>
                <w:szCs w:val="24"/>
              </w:rPr>
              <w:t xml:space="preserve">List only the authorities that map to content in this artifact. Group by authority; order numerically. No padding.</w:t>
            </w:r>
          </w:p>
          <w:p>
            <w:pPr>
              <w:spacing w:after="20"/>
            </w:pPr>
            <w:r>
              <w:rPr>
                <w:rFonts w:ascii="Aptos" w:cs="Aptos" w:eastAsia="Aptos" w:hAnsi="Aptos"/>
                <w:b w:val="false"/>
                <w:bCs w:val="false"/>
                <w:i w:val="false"/>
                <w:iCs w:val="false"/>
                <w:color w:val="000000"/>
                <w:sz w:val="24"/>
                <w:szCs w:val="24"/>
              </w:rPr>
              <w:t xml:space="preserve">NENA-STA-040.2-2024: §4.2.1, §4.3, §4.3.1, §4.3.2, §5.2</w:t>
            </w:r>
          </w:p>
          <w:p>
            <w:pPr>
              <w:spacing w:after="20"/>
            </w:pPr>
            <w:r>
              <w:rPr>
                <w:rFonts w:ascii="Aptos" w:cs="Aptos" w:eastAsia="Aptos" w:hAnsi="Aptos"/>
                <w:b w:val="false"/>
                <w:bCs w:val="false"/>
                <w:i w:val="false"/>
                <w:iCs w:val="false"/>
                <w:color w:val="000000"/>
                <w:sz w:val="24"/>
                <w:szCs w:val="24"/>
              </w:rPr>
              <w:t xml:space="preserve">NIST SP 800-53 Rev. 5: CA-2, PE-13, PE-14, PE-15, PE-18, PM-9, RA-2, RA-3, RA-7</w:t>
            </w:r>
          </w:p>
          <w:p>
            <w:pPr>
              <w:spacing w:after="20"/>
            </w:pPr>
            <w:r>
              <w:rPr>
                <w:rFonts w:ascii="Aptos" w:cs="Aptos" w:eastAsia="Aptos" w:hAnsi="Aptos"/>
                <w:b w:val="false"/>
                <w:bCs w:val="false"/>
                <w:i w:val="false"/>
                <w:iCs w:val="false"/>
                <w:color w:val="000000"/>
                <w:sz w:val="24"/>
                <w:szCs w:val="24"/>
              </w:rPr>
              <w:t xml:space="preserve">CJIS Security Policy v5.9: §[ ]  (CJIS-regulated data in scope, via IDACS, if applicable)</w:t>
            </w:r>
          </w:p>
        </w:tc>
      </w:tr>
    </w:tbl>
    <w:p>
      <w:pPr>
        <w:pStyle w:val="Heading2"/>
      </w:pPr>
      <w: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[Assessor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[Reviewed by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[Initial issue]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Drafter's note (internal, delete before publishing)</w:t>
            </w:r>
          </w:p>
          <w:p>
            <w:pPr>
              <w:spacing w:after="0"/>
            </w:pPr>
            <w:r>
              <w:rPr>
                <w:rFonts w:ascii="Aptos" w:cs="Aptos" w:eastAsia="Aptos" w:hAnsi="Aptos"/>
                <w:b w:val="false"/>
                <w:bCs w:val="false"/>
                <w:i/>
                <w:iCs/>
                <w:color w:val="595959"/>
                <w:sz w:val="24"/>
                <w:szCs w:val="24"/>
              </w:rPr>
              <w:t>Two sections were added to the Report/Assessment shell per the approved batch review: Methodology (the Scoping Notes require method to be stated) and Threats and Failure Modes Considered (the analytic step the generic findings table does not capture). The single Severity column was replaced with three-axis impact scoring (Service / Data / Life safety) per Scoping Notes. The shell's Remediation Tracking section was replaced with Prioritization and Handoff so the Risk / Finding Register (POA&amp;M) stays the single tracker (CLAUDE.md §14). This report depends on the Risk Assessment Procedure and feeds the Risk Register. NENA citations map to §4.2.1 (documented, retained security assessment), §4.3 with §4.3.1 / §4.3.2 (risk process, threat vectors, threat protection and mitigation), and §5.2 (assessment methods and cadence).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2026-06-04T17:40:21.610Z</dcterms:created>
  <dcterms:modified xsi:type="dcterms:W3CDTF">2026-06-04T17:40:21.610Z</dcterms:modified>
  <dc:title xmlns:dc="http://purl.org/dc/elements/1.1/">Risk Assessment Report - FORM</dc:title>
</cp:coreProperties>
</file>

<file path=docProps/custom.xml><?xml version="1.0" encoding="utf-8"?>
<Properties xmlns="http://schemas.openxmlformats.org/officeDocument/2006/custom-properties" xmlns:vt="http://schemas.openxmlformats.org/officeDocument/2006/docPropsVTypes"/>
</file>