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Acceptable Use Policy (AUP)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policy defines how [Agency Name] personnel and authorized third parties may use the Agency’s systems, networks, and data. It states the conduct expected of every user and the conditions of access. Signing this policy is a condition of being granted access to any Agency system.</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including full-time and part-time dispatchers, supervisors, and administrative staff, and any contractor or vendor personnel granted access to Agency systems, networks, or data.</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all systems, networks, applications, devices, and data the Agency owns or operates for 9-1-1 call handling and dispatch, including use on Agency-owned and personally owned devices that connect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[list any systems or data outside this policy.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 xml:space="preserve">Personal device: any computing or mobile device not owned or issued by the Agency.</w:t>
      </w:r>
    </w:p>
    <w:p>
      <w:pPr>
        <w:spacing w:after="120" w:before="0"/>
      </w:pPr>
      <w:r>
        <w:rPr>
          <w:rFonts w:ascii="Aptos" w:cs="Aptos" w:eastAsia="Aptos" w:hAnsi="Aptos"/>
          <w:b w:val="false"/>
          <w:bCs w:val="false"/>
          <w:i w:val="false"/>
          <w:iCs w:val="false"/>
          <w:sz w:val="24"/>
          <w:szCs w:val="24"/>
        </w:rPr>
        <w:t xml:space="preserve">Acceptable use: use of Agency systems and data for the Agency’s official public-safety functions and for any limited purpose the Agency permits in writing.</w:t>
      </w:r>
    </w:p>
    <w:p>
      <w:pPr>
        <w:pStyle w:val="Heading2"/>
        <w:spacing w:after="100" w:before="220"/>
      </w:pPr>
      <w:r>
        <w:rPr>
          <w:rFonts w:ascii="Aptos" w:cs="Aptos" w:eastAsia="Aptos" w:hAnsi="Aptos"/>
          <w:b/>
          <w:bCs/>
          <w:color w:val="1B3A5C"/>
          <w:sz w:val="26"/>
          <w:szCs w:val="26"/>
        </w:rPr>
        <w:t xml:space="preserve">4. Rules of Behavior</w:t>
      </w:r>
    </w:p>
    <w:p>
      <w:pPr>
        <w:spacing w:after="140"/>
      </w:pPr>
      <w:r>
        <w:rPr>
          <w:rFonts w:ascii="Aptos" w:cs="Aptos" w:eastAsia="Aptos" w:hAnsi="Aptos"/>
          <w:i/>
          <w:iCs/>
          <w:color w:val="595959"/>
          <w:sz w:val="24"/>
          <w:szCs w:val="24"/>
        </w:rPr>
        <w:t xml:space="preserve">«The enforceable conduct rules, as numbered statements. Use "The Agency shall…" / "Personnel shall…". One rule per statement. These rules are reused in onboarding and refresher training.»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grant access to its systems and data only to users who have signed this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protect their account credentials, shall not share passwords or authentication devices, and shall report a suspected credential compromise without delay.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lock or log off an unattended session and shall log off at the end of each shift.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use Agency systems and data only for authorized public-safety purposes. [State any limited personal use the Agency permits, or write "No personal use is permitted."]</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not connect a personal device to Agency systems or store Agency data on a personal device unless the Agency authorizes it in writing and the device meets Agency security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handle all data according to its classification and shall not disclose sensitive or CJIS-regulated data outside authorized channels.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not install unapproved software, disable a security control, or attempt to bypass an access restriction.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reach Agency systems remotely only through Agency-approved methods, and shall not use untrusted networks except through those methods.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shall follow the Social Media and External Communications Policy when referencing the Agency or its operations.</w:t>
      </w:r>
    </w:p>
    <w:p>
      <w:pPr>
        <w:pStyle w:val="ListParagraph"/>
        <w:numPr>
          <w:ilvl w:val="0"/>
          <w:numId w:val="3"/>
        </w:numPr>
        <w:spacing w:after="60"/>
      </w:pPr>
      <w:r>
        <w:rPr>
          <w:rFonts w:ascii="Aptos" w:cs="Aptos" w:eastAsia="Aptos" w:hAnsi="Aptos"/>
          <w:b w:val="false"/>
          <w:bCs w:val="false"/>
          <w:i w:val="false"/>
          <w:iCs w:val="false"/>
          <w:sz w:val="24"/>
          <w:szCs w:val="24"/>
        </w:rPr>
        <w:t xml:space="preserve">[Add Agency-specific rules.]</w:t>
      </w:r>
    </w:p>
    <w:p>
      <w:pPr>
        <w:pStyle w:val="Heading2"/>
        <w:spacing w:after="100" w:before="220"/>
      </w:pPr>
      <w:r>
        <w:rPr>
          <w:rFonts w:ascii="Aptos" w:cs="Aptos" w:eastAsia="Aptos" w:hAnsi="Aptos"/>
          <w:b/>
          <w:bCs/>
          <w:color w:val="1B3A5C"/>
          <w:sz w:val="26"/>
          <w:szCs w:val="26"/>
        </w:rPr>
        <w:t xml:space="preserve">5. System Use Notification (Login Banner)</w:t>
      </w:r>
    </w:p>
    <w:p>
      <w:pPr>
        <w:spacing w:after="140"/>
      </w:pPr>
      <w:r>
        <w:rPr>
          <w:rFonts w:ascii="Aptos" w:cs="Aptos" w:eastAsia="Aptos" w:hAnsi="Aptos"/>
          <w:i/>
          <w:iCs/>
          <w:color w:val="595959"/>
          <w:sz w:val="24"/>
          <w:szCs w:val="24"/>
        </w:rPr>
        <w:t xml:space="preserve">«The approved banner text, where it is displayed, and how consent is recorded. Keep the banner short and show it before access is granted.»</w:t>
      </w:r>
    </w:p>
    <w:p>
      <w:pPr>
        <w:spacing w:after="120" w:before="0"/>
      </w:pPr>
      <w:r>
        <w:rPr>
          <w:rFonts w:ascii="Aptos" w:cs="Aptos" w:eastAsia="Aptos" w:hAnsi="Aptos"/>
          <w:b w:val="false"/>
          <w:bCs w:val="false"/>
          <w:i w:val="false"/>
          <w:iCs w:val="false"/>
          <w:sz w:val="24"/>
          <w:szCs w:val="24"/>
        </w:rPr>
        <w:t xml:space="preserve">Agency systems display a notification banner at login. The banner states that use is restricted to authorized purposes, warns that activity is monitored and recorded, and requires the user to consent before access is granted. The approved banner text reads:</w:t>
      </w:r>
    </w:p>
    <w:p>
      <w:pPr>
        <w:spacing w:after="120" w:before="0"/>
      </w:pPr>
      <w:r>
        <w:rPr>
          <w:rFonts w:ascii="Aptos" w:cs="Aptos" w:eastAsia="Aptos" w:hAnsi="Aptos"/>
          <w:b w:val="false"/>
          <w:bCs w:val="false"/>
          <w:i w:val="false"/>
          <w:iCs w:val="false"/>
          <w:sz w:val="24"/>
          <w:szCs w:val="24"/>
        </w:rPr>
        <w:t xml:space="preserve">[Approved banner text. Example: "This is a [Agency Name] information system provided for authorized use only. Use is monitored and recorded. Unauthorized or improper use may result in disciplinary action and civil or criminal penalties. By logging in you accept these terms and consent to monitoring."]</w:t>
      </w:r>
    </w:p>
    <w:p>
      <w:pPr>
        <w:spacing w:after="120" w:before="0"/>
      </w:pPr>
      <w:r>
        <w:rPr>
          <w:rFonts w:ascii="Aptos" w:cs="Aptos" w:eastAsia="Aptos" w:hAnsi="Aptos"/>
          <w:b w:val="false"/>
          <w:bCs w:val="false"/>
          <w:i w:val="false"/>
          <w:iCs w:val="false"/>
          <w:sz w:val="24"/>
          <w:szCs w:val="24"/>
        </w:rPr>
        <w:t xml:space="preserve">The banner applies to [list the systems and access points, such as dispatch consoles, administrative workstations, remote-access portals, and VPN]. Where a system supports it, the Agency records each user’s acknowledgment of the banner, and banner confirmations are retained with system logs. Where a system cannot display a banner, the Agency posts the notice at the point of access and records that each user has read it.</w:t>
      </w:r>
    </w:p>
    <w:p>
      <w:pPr>
        <w:pStyle w:val="Heading2"/>
        <w:spacing w:after="100" w:before="220"/>
      </w:pPr>
      <w:r>
        <w:rPr>
          <w:rFonts w:ascii="Aptos" w:cs="Aptos" w:eastAsia="Aptos" w:hAnsi="Aptos"/>
          <w:b/>
          <w:bCs/>
          <w:color w:val="1B3A5C"/>
          <w:sz w:val="26"/>
          <w:szCs w:val="26"/>
        </w:rPr>
        <w:t xml:space="preserve">6. User Acknowledgment</w:t>
      </w:r>
    </w:p>
    <w:p>
      <w:pPr>
        <w:spacing w:after="140"/>
      </w:pPr>
      <w:r>
        <w:rPr>
          <w:rFonts w:ascii="Aptos" w:cs="Aptos" w:eastAsia="Aptos" w:hAnsi="Aptos"/>
          <w:i/>
          <w:iCs/>
          <w:color w:val="595959"/>
          <w:sz w:val="24"/>
          <w:szCs w:val="24"/>
        </w:rPr>
        <w:t xml:space="preserve">«How users sign this policy before access, and where signed records are kept. Reference the records; do not restate them.»</w:t>
      </w:r>
    </w:p>
    <w:p>
      <w:pPr>
        <w:spacing w:after="120" w:before="0"/>
      </w:pPr>
      <w:r>
        <w:rPr>
          <w:rFonts w:ascii="Aptos" w:cs="Aptos" w:eastAsia="Aptos" w:hAnsi="Aptos"/>
          <w:b w:val="false"/>
          <w:bCs w:val="false"/>
          <w:i w:val="false"/>
          <w:iCs w:val="false"/>
          <w:sz w:val="24"/>
          <w:szCs w:val="24"/>
        </w:rPr>
        <w:t xml:space="preserve">Every user signs this policy before the Agency grants access to any system, signs again at least once a year, and signs whenever the policy changes materially. The Agency does not enable an account until the signed acknowledgment is on file. Signed acknowledgments are kept in the Signed Acknowledgment Records, and completion and renewals are tracked in the Policy Acknowledgment Tracking Log.</w:t>
      </w:r>
    </w:p>
    <w:p>
      <w:pPr>
        <w:pStyle w:val="Heading2"/>
        <w:spacing w:after="100" w:before="220"/>
      </w:pPr>
      <w:r>
        <w:rPr>
          <w:rFonts w:ascii="Aptos" w:cs="Aptos" w:eastAsia="Aptos" w:hAnsi="Aptos"/>
          <w:b/>
          <w:bCs/>
          <w:color w:val="1B3A5C"/>
          <w:sz w:val="26"/>
          <w:szCs w:val="26"/>
        </w:rPr>
        <w:t xml:space="preserve">7.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approves the banner text, and confirms that access is not granted before acknowledgment.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the login banner on Agency systems, enforces credential, device, and remote-access controls, and enables accounts only after acknowledgment is confirmed.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 conduct rules on shift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Collects signed acknowledgments before access and tracks annual renewals.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Read, sign, and follow this policy; protect credentials; report suspected misuse.</w:t>
            </w:r>
          </w:p>
        </w:tc>
      </w:tr>
    </w:tbl>
    <w:p>
      <w:pPr>
        <w:pStyle w:val="Heading2"/>
        <w:spacing w:after="100" w:before="220"/>
      </w:pPr>
      <w:r>
        <w:rPr>
          <w:rFonts w:ascii="Aptos" w:cs="Aptos" w:eastAsia="Aptos" w:hAnsi="Aptos"/>
          <w:b/>
          <w:bCs/>
          <w:color w:val="1B3A5C"/>
          <w:sz w:val="26"/>
          <w:szCs w:val="26"/>
        </w:rPr>
        <w:t xml:space="preserve">8.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Compliance is monitored through system logs, banner confirmations, and supervisory review. A violation is handled under the Agency’s corrective and disciplinary process and may result in suspension of access. Misuse involving CJIS-regulated data is also reported under CJIS and IDACS requirements.</w:t>
      </w:r>
    </w:p>
    <w:p>
      <w:pPr>
        <w:pStyle w:val="Heading2"/>
        <w:spacing w:after="100" w:before="220"/>
      </w:pPr>
      <w:r>
        <w:rPr>
          <w:rFonts w:ascii="Aptos" w:cs="Aptos" w:eastAsia="Aptos" w:hAnsi="Aptos"/>
          <w:b/>
          <w:bCs/>
          <w:color w:val="1B3A5C"/>
          <w:sz w:val="26"/>
          <w:szCs w:val="26"/>
        </w:rPr>
        <w:t xml:space="preserve">9.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[The Director] may grant a written exception to a specific rule. Each exception states what is permitted, who approved it, and an expiry date, and is reviewed at least annually.</w:t>
      </w:r>
    </w:p>
    <w:p>
      <w:pPr>
        <w:pStyle w:val="Heading2"/>
        <w:spacing w:after="100" w:before="220"/>
      </w:pPr>
      <w:r>
        <w:rPr>
          <w:rFonts w:ascii="Aptos" w:cs="Aptos" w:eastAsia="Aptos" w:hAnsi="Aptos"/>
          <w:b/>
          <w:bCs/>
          <w:color w:val="1B3A5C"/>
          <w:sz w:val="26"/>
          <w:szCs w:val="26"/>
        </w:rPr>
        <w:t xml:space="preserve">10.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Agency systems or applicable law,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Adopt as written. The director collects signed acknowledgments on paper or by email and keeps them in one file. Where a system cannot show a login banner, post the notice at the console and record that each user has read it.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tracks acknowledgments and renewals for all staff and contractors. County IT configures the banner on shared systems.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Acknowledgment is collected and tracked in the onboarding system. Banners are enforced on every endpoint and remote-access portal, and banner confirmations are logged centrally.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This policy governs conduct on systems carrying CJIS-regulated data, reached in Indiana through IDACS. Apply CJIS Security Policy v5.9 §5.5 and the security-awareness requirements in addition to the rules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§4.1.2, §6.2.4, §6.5, §6.6, §6.17</w:t>
            </w:r>
          </w:p>
          <w:p>
            <w:r>
              <w:rPr>
                <w:rFonts w:ascii="Aptos" w:cs="Aptos" w:eastAsia="Aptos" w:hAnsi="Aptos"/>
                <w:sz w:val="24"/>
                <w:szCs w:val="24"/>
              </w:rPr>
              <w:t xml:space="preserve">NIST SP 800-53 Rev. 5: AC-2, AC-8, AC-11, AC-17, AT-2, PL-4, PS-6</w:t>
            </w:r>
          </w:p>
          <w:p>
            <w:r>
              <w:rPr>
                <w:rFonts w:ascii="Aptos" w:cs="Aptos" w:eastAsia="Aptos" w:hAnsi="Aptos"/>
                <w:sz w:val="24"/>
                <w:szCs w:val="24"/>
              </w:rPr>
              <w:t xml:space="preserve">Indiana statutes and administrative code: 240 IAC 5: IDACS Security (where IDACS is in scope)</w:t>
            </w:r>
          </w:p>
          <w:p>
            <w:r>
              <w:rPr>
                <w:rFonts w:ascii="Aptos" w:cs="Aptos" w:eastAsia="Aptos" w:hAnsi="Aptos"/>
                <w:sz w:val="24"/>
                <w:szCs w:val="24"/>
              </w:rPr>
              <w:t xml:space="preserve">CJIS Security Policy v5.9: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(internal, delete before publishing)</w:t>
            </w:r>
          </w:p>
          <w:p>
            <w:r>
              <w:rPr>
                <w:rFonts w:ascii="Aptos" w:cs="Aptos" w:eastAsia="Aptos" w:hAnsi="Aptos"/>
                <w:sz w:val="24"/>
                <w:szCs w:val="24"/>
              </w:rPr>
              <w:t xml:space="preserve">Confirm the approved banner text and the exact systems/access points where it is displayed (Section 5).</w:t>
            </w:r>
          </w:p>
          <w:p>
            <w:r>
              <w:rPr>
                <w:rFonts w:ascii="Aptos" w:cs="Aptos" w:eastAsia="Aptos" w:hAnsi="Aptos"/>
                <w:sz w:val="24"/>
                <w:szCs w:val="24"/>
              </w:rPr>
              <w:t xml:space="preserve">Confirm whether any limited personal use is permitted (Rule 4) and who holds exception authority (Section 9).</w:t>
            </w:r>
          </w:p>
          <w:p>
            <w:r>
              <w:rPr>
                <w:rFonts w:ascii="Aptos" w:cs="Aptos" w:eastAsia="Aptos" w:hAnsi="Aptos"/>
                <w:sz w:val="24"/>
                <w:szCs w:val="24"/>
              </w:rPr>
              <w:t xml:space="preserve">Confirm NENA-STA-040.2-2024 clause mapping against the agency’s NG9-1-1 deployment.</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Acceptable Use Policy (AUP) - FORM</dc:title>
</cp:coreProperties>
</file>

<file path=docProps/custom.xml><?xml version="1.0" encoding="utf-8"?>
<Properties xmlns="http://schemas.openxmlformats.org/officeDocument/2006/custom-properties" xmlns:vt="http://schemas.openxmlformats.org/officeDocument/2006/docPropsVTypes"/>
</file>