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Password &amp; Authentication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t>«Minimum for Policy artifacts. Appended “ / CJIS” because authentication to IDACS-reached systems is in scope.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How to use this template (delete this box before publishing)</w:t>
            </w:r>
            <w:r>
              <w:rPr>
                <w:rFonts w:ascii="Aptos" w:cs="Aptos" w:eastAsia="Aptos" w:hAnsi="Aptos"/>
                <w:b w:val="false"/>
                <w:bCs w:val="false"/>
                <w:i/>
                <w:iCs/>
                <w:color w:val="595959"/>
                <w:sz w:val="24"/>
                <w:szCs w:val="24"/>
              </w:rPr>
            </w:r>
          </w:p>
          <w:p>
            <w:pPr>
              <w:spacing w:after="140"/>
            </w:pPr>
            <w:r>
              <w:rPr>
                <w:rFonts w:ascii="Aptos" w:cs="Aptos" w:eastAsia="Aptos" w:hAnsi="Aptos"/>
                <w:i/>
                <w:iCs/>
                <w:color w:val="595959"/>
                <w:sz w:val="24"/>
                <w:szCs w:val="24"/>
              </w:rPr>
              <w:t>This policy sets how credentials are issued, used, protected, and retired across the Agency's systems.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the body director-readable. Specific thresholds and enforcement settings belong in the Agency's configuration baselines and the MFA Implementation Record, not in this policy.</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sets how credentials are issued, used, protected, and retired across the Agency's systems, so that every action on a system traces to a verified, uniquely identified user. It defines the authentication strength required to protect 9-1-1 call handling, dispatch, and the data behind them.</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contractors, and vendor accounts that authenticate to Agency systems.</w:t>
      </w:r>
    </w:p>
    <w:p>
      <w:pPr>
        <w:pStyle w:val="ListParagraph"/>
        <w:numPr>
          <w:ilvl w:val="0"/>
          <w:numId w:val="2"/>
        </w:numPr>
        <w:spacing w:after="60"/>
      </w:pPr>
      <w:r>
        <w:rPr>
          <w:rFonts w:ascii="Aptos" w:cs="Aptos" w:eastAsia="Aptos" w:hAnsi="Aptos"/>
          <w:b w:val="false"/>
          <w:bCs w:val="false"/>
          <w:i w:val="false"/>
          <w:iCs w:val="false"/>
          <w:sz w:val="24"/>
          <w:szCs w:val="24"/>
        </w:rPr>
        <w:t>Covers: every account type (user, administrative, service, cloud, vendor, and remote) on all Agency systems, including systems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[public information systems that hold no Agency or CJIS data, if any].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Strong authentication: a method that combines two or more independent factors, such as a password plus a hardware token, certificate, or authenticator app.</w:t>
      </w:r>
    </w:p>
    <w:p>
      <w:pPr>
        <w:spacing w:after="120" w:before="0"/>
      </w:pPr>
      <w:r>
        <w:rPr>
          <w:rFonts w:ascii="Aptos" w:cs="Aptos" w:eastAsia="Aptos" w:hAnsi="Aptos"/>
          <w:b w:val="false"/>
          <w:bCs w:val="false"/>
          <w:i w:val="false"/>
          <w:iCs w:val="false"/>
          <w:sz w:val="24"/>
          <w:szCs w:val="24"/>
        </w:rPr>
        <w:t>Service account: a non-human account used by a system or application, not by a person.</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Each user is issued unique credentials. Shared or group logins are not permitted except for documented service accounts governed by the Privileged Access Management Policy.</w:t>
      </w:r>
    </w:p>
    <w:p>
      <w:pPr>
        <w:pStyle w:val="ListParagraph"/>
        <w:numPr>
          <w:ilvl w:val="0"/>
          <w:numId w:val="3"/>
        </w:numPr>
        <w:spacing w:after="60"/>
      </w:pPr>
      <w:r>
        <w:rPr>
          <w:rFonts w:ascii="Aptos" w:cs="Aptos" w:eastAsia="Aptos" w:hAnsi="Aptos"/>
          <w:b w:val="false"/>
          <w:bCs w:val="false"/>
          <w:i w:val="false"/>
          <w:iCs w:val="false"/>
          <w:sz w:val="24"/>
          <w:szCs w:val="24"/>
        </w:rPr>
        <w:t>Each person's identity is verified through a documented process before credentials are issued.</w:t>
      </w:r>
    </w:p>
    <w:p>
      <w:pPr>
        <w:pStyle w:val="ListParagraph"/>
        <w:numPr>
          <w:ilvl w:val="0"/>
          <w:numId w:val="3"/>
        </w:numPr>
        <w:spacing w:after="60"/>
      </w:pPr>
      <w:r>
        <w:rPr>
          <w:rFonts w:ascii="Aptos" w:cs="Aptos" w:eastAsia="Aptos" w:hAnsi="Aptos"/>
          <w:b w:val="false"/>
          <w:bCs w:val="false"/>
          <w:i w:val="false"/>
          <w:iCs w:val="false"/>
          <w:sz w:val="24"/>
          <w:szCs w:val="24"/>
        </w:rPr>
        <w:t>Passwords meet the Agency's minimum length and complexity standard, enforced technically wherever the system allows.</w:t>
      </w:r>
    </w:p>
    <w:p>
      <w:pPr>
        <w:pStyle w:val="ListParagraph"/>
        <w:numPr>
          <w:ilvl w:val="0"/>
          <w:numId w:val="3"/>
        </w:numPr>
        <w:spacing w:after="60"/>
      </w:pPr>
      <w:r>
        <w:rPr>
          <w:rFonts w:ascii="Aptos" w:cs="Aptos" w:eastAsia="Aptos" w:hAnsi="Aptos"/>
          <w:b w:val="false"/>
          <w:bCs w:val="false"/>
          <w:i w:val="false"/>
          <w:iCs w:val="false"/>
          <w:sz w:val="24"/>
          <w:szCs w:val="24"/>
        </w:rPr>
        <w:t>Credentials are rotated on a defined cycle and immediately on suspected compromise or on a change of role or employment.</w:t>
      </w:r>
    </w:p>
    <w:p>
      <w:pPr>
        <w:pStyle w:val="ListParagraph"/>
        <w:numPr>
          <w:ilvl w:val="0"/>
          <w:numId w:val="3"/>
        </w:numPr>
        <w:spacing w:after="60"/>
      </w:pPr>
      <w:r>
        <w:rPr>
          <w:rFonts w:ascii="Aptos" w:cs="Aptos" w:eastAsia="Aptos" w:hAnsi="Aptos"/>
          <w:b w:val="false"/>
          <w:bCs w:val="false"/>
          <w:i w:val="false"/>
          <w:iCs w:val="false"/>
          <w:sz w:val="24"/>
          <w:szCs w:val="24"/>
        </w:rPr>
        <w:t>Weak, reused, and shared passwords are prohibited. Where supported, new passwords are screened against known-compromised lists.</w:t>
      </w:r>
    </w:p>
    <w:p>
      <w:pPr>
        <w:pStyle w:val="ListParagraph"/>
        <w:numPr>
          <w:ilvl w:val="0"/>
          <w:numId w:val="3"/>
        </w:numPr>
        <w:spacing w:after="60"/>
      </w:pPr>
      <w:r>
        <w:rPr>
          <w:rFonts w:ascii="Aptos" w:cs="Aptos" w:eastAsia="Aptos" w:hAnsi="Aptos"/>
          <w:b w:val="false"/>
          <w:bCs w:val="false"/>
          <w:i w:val="false"/>
          <w:iCs w:val="false"/>
          <w:sz w:val="24"/>
          <w:szCs w:val="24"/>
        </w:rPr>
        <w:t>Passwords are stored only as salted hashes, and secrets and keys are vaulted. Credentials are never stored or transmitted in clear text.</w:t>
      </w:r>
    </w:p>
    <w:p>
      <w:pPr>
        <w:pStyle w:val="ListParagraph"/>
        <w:numPr>
          <w:ilvl w:val="0"/>
          <w:numId w:val="3"/>
        </w:numPr>
        <w:spacing w:after="60"/>
      </w:pPr>
      <w:r>
        <w:rPr>
          <w:rFonts w:ascii="Aptos" w:cs="Aptos" w:eastAsia="Aptos" w:hAnsi="Aptos"/>
          <w:b w:val="false"/>
          <w:bCs w:val="false"/>
          <w:i w:val="false"/>
          <w:iCs w:val="false"/>
          <w:sz w:val="24"/>
          <w:szCs w:val="24"/>
        </w:rPr>
        <w:t>Where a password manager is used, it requires a strong master factor (MFA), encrypts stored credentials, and runs only on Agency-approved, secured devices.</w:t>
      </w:r>
    </w:p>
    <w:p>
      <w:pPr>
        <w:pStyle w:val="ListParagraph"/>
        <w:numPr>
          <w:ilvl w:val="0"/>
          <w:numId w:val="3"/>
        </w:numPr>
        <w:spacing w:after="60"/>
      </w:pPr>
      <w:r>
        <w:rPr>
          <w:rFonts w:ascii="Aptos" w:cs="Aptos" w:eastAsia="Aptos" w:hAnsi="Aptos"/>
          <w:b w:val="false"/>
          <w:bCs w:val="false"/>
          <w:i w:val="false"/>
          <w:iCs w:val="false"/>
          <w:sz w:val="24"/>
          <w:szCs w:val="24"/>
        </w:rPr>
        <w:t>Multifactor authentication is required for all accounts and access types (remote, on-premises, and cloud), for both privileged and non-privileged users. Hardware tokens or certificates are used where the system supports them.</w:t>
      </w:r>
    </w:p>
    <w:p>
      <w:pPr>
        <w:pStyle w:val="ListParagraph"/>
        <w:numPr>
          <w:ilvl w:val="0"/>
          <w:numId w:val="3"/>
        </w:numPr>
        <w:spacing w:after="60"/>
      </w:pPr>
      <w:r>
        <w:rPr>
          <w:rFonts w:ascii="Aptos" w:cs="Aptos" w:eastAsia="Aptos" w:hAnsi="Aptos"/>
          <w:b w:val="false"/>
          <w:bCs w:val="false"/>
          <w:i w:val="false"/>
          <w:iCs w:val="false"/>
          <w:sz w:val="24"/>
          <w:szCs w:val="24"/>
        </w:rPr>
        <w:t>Login interfaces lock or throttle after [a set number of] failed attempts, return non-specific error messages, and log failed attempts for monitoring. Default vendor credentials are removed before a system enters production.</w:t>
      </w:r>
    </w:p>
    <w:p>
      <w:pPr>
        <w:pStyle w:val="ListParagraph"/>
        <w:numPr>
          <w:ilvl w:val="0"/>
          <w:numId w:val="3"/>
        </w:numPr>
        <w:spacing w:after="60"/>
      </w:pPr>
      <w:r>
        <w:rPr>
          <w:rFonts w:ascii="Aptos" w:cs="Aptos" w:eastAsia="Aptos" w:hAnsi="Aptos"/>
          <w:b w:val="false"/>
          <w:bCs w:val="false"/>
          <w:i w:val="false"/>
          <w:iCs w:val="false"/>
          <w:sz w:val="24"/>
          <w:szCs w:val="24"/>
        </w:rPr>
        <w:t>Cross-system trusts, such as SAML federation or certificate trusts, are documented in the External Connection Inventory.</w:t>
      </w:r>
    </w:p>
    <w:p>
      <w:pPr>
        <w:pStyle w:val="ListParagraph"/>
        <w:numPr>
          <w:ilvl w:val="0"/>
          <w:numId w:val="3"/>
        </w:numPr>
        <w:spacing w:after="60"/>
      </w:pPr>
      <w:r>
        <w:rPr>
          <w:rFonts w:ascii="Aptos" w:cs="Aptos" w:eastAsia="Aptos" w:hAnsi="Aptos"/>
          <w:b w:val="false"/>
          <w:bCs w:val="false"/>
          <w:i w:val="false"/>
          <w:iCs w:val="false"/>
          <w:sz w:val="24"/>
          <w:szCs w:val="24"/>
        </w:rPr>
        <w:t>Specific values (length, lockout count, rotation interval) and their technical enforcement are recorded in the Agency's configuration baselines and the MFA Implementation Record, not in this policy.</w:t>
      </w:r>
    </w:p>
    <w:p>
      <w:pPr>
        <w:pStyle w:val="ListParagraph"/>
        <w:numPr>
          <w:ilvl w:val="0"/>
          <w:numId w:val="3"/>
        </w:numPr>
        <w:spacing w:after="60"/>
      </w:pPr>
      <w:r>
        <w:rPr>
          <w:rFonts w:ascii="Aptos" w:cs="Aptos" w:eastAsia="Aptos" w:hAnsi="Aptos"/>
          <w:b w:val="false"/>
          <w:bCs w:val="false"/>
          <w:i w:val="false"/>
          <w:iCs w:val="false"/>
          <w:sz w:val="24"/>
          <w:szCs w:val="24"/>
        </w:rPr>
        <w:t>Access to systems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the credential standard and any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enforces the rules; manages MFA, hashing and vaulting, lockout settings, and removal of default credentials.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Monitors day-to-day compliance and reports shared-credential use or attempts to bypass authentication.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credentials confidential, use only approved password managers, and complete MFA enrollment.</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The [Director / Coordinator] monitors compliance through periodic account and configuration reviews. Credentials or access that violate this policy are corrected, and repeated violations are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Exceptions require written approval from the [Director / Coordinator], must state the system affected and any compensating control, and are recorded in the Risk / Finding Register with a target date. They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or authentication technology,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as written. Enforce length, complexity, and lockout through each system's built-in settings, use a reputable password manager, and enable free authenticator-app MFA. The director verifies MFA enrollment by hand.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 enforces rules through directory group policy where available. Require MFA on all remote and administrative access first, then all users, and begin centralizing the service-account inventory.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Enterprise identity or SSO enforces complexity, rotation, and MFA automatically. Privileged accounts use hardware tokens, and authentication events feed the SIEM.</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false"/>
          <w:bCs w:val="false"/>
          <w:i w:val="false"/>
          <w:iCs w:val="false"/>
          <w:sz w:val="24"/>
          <w:szCs w:val="24"/>
        </w:rPr>
        <w:t>CJIS Handling: Authentication to systems carrying CJIS-regulated data, reached in Indiana through IDACS, is governed by the FBI CJIS Security Policy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 §6.2.1</w:t>
            </w:r>
          </w:p>
          <w:p>
            <w:pPr>
              <w:spacing w:after="40" w:before="0"/>
            </w:pPr>
            <w:r>
              <w:rPr>
                <w:rFonts w:ascii="Aptos" w:cs="Aptos" w:eastAsia="Aptos" w:hAnsi="Aptos"/>
                <w:b w:val="false"/>
                <w:bCs w:val="false"/>
                <w:i w:val="false"/>
                <w:iCs w:val="false"/>
                <w:sz w:val="24"/>
                <w:szCs w:val="24"/>
              </w:rPr>
              <w:t>NIST SP 800-53 Rev. 5: AC-7, IA-2, IA-4, IA-5</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60"/>
            </w:pPr>
            <w:r>
              <w:rPr>
                <w:rFonts w:ascii="Aptos" w:cs="Aptos" w:eastAsia="Aptos" w:hAnsi="Aptos"/>
                <w:b/>
                <w:bCs/>
                <w:i w:val="false"/>
                <w:iCs w:val="false"/>
                <w:color w:val="1B3A5C"/>
                <w:sz w:val="24"/>
                <w:szCs w:val="24"/>
              </w:rPr>
              <w:t>Specific thresholds (length, lockout count, rotation interval) are deliberately kept out of the body and pushed to the configuration baselines and MFA Implementation Record per the director-readable rule; the Default Credential Remediation Log evidences statement 9. Internal / CJIS floor (IDACS in scope).</w:t>
            </w:r>
            <w:r>
              <w:rPr>
                <w:rFonts w:ascii="Aptos" w:cs="Aptos" w:eastAsia="Aptos" w:hAnsi="Aptos"/>
                <w:b w:val="false"/>
                <w:bCs w:val="false"/>
                <w:i/>
                <w:iCs/>
                <w:color w:val="595959"/>
                <w:sz w:val="24"/>
                <w:szCs w:val="24"/>
              </w:rPr>
            </w:r>
          </w:p>
          <w:p>
            <w:pPr>
              <w:spacing w:after="140"/>
            </w:pPr>
            <w:r>
              <w:rPr>
                <w:rFonts w:ascii="Aptos" w:cs="Aptos" w:eastAsia="Aptos" w:hAnsi="Aptos"/>
                <w:i/>
                <w:iCs/>
                <w:color w:val="595959"/>
                <w:sz w:val="24"/>
                <w:szCs w:val="24"/>
              </w:rPr>
              <w:t>Confirm the precise NENA-STA-040.2-2024 authentication sub-clause (cited here within the §6.2 IAM family, consistent with the Access Control Policy). Specific thresholds (length, lockout count, rotation interval) are deliberately kept out of the body and pushed to the configuration baselines and MFA Implementation Record per the director-readable rule; the Default Credential Remediation Log evidences statement 9. Internal / CJIS floor (IDACS in scope).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Password &amp; Authentication Policy - FORM</dc:title>
</cp:coreProperties>
</file>

<file path=docProps/custom.xml><?xml version="1.0" encoding="utf-8"?>
<Properties xmlns="http://schemas.openxmlformats.org/officeDocument/2006/custom-properties" xmlns:vt="http://schemas.openxmlformats.org/officeDocument/2006/docPropsVTypes"/>
</file>