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Unauthorized Disclosure Response &amp; Notification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b/>
                <w:bCs/>
                <w:i w:val="false"/>
                <w:iCs w:val="false"/>
                <w:sz w:val="24"/>
                <w:szCs w:val="24"/>
              </w:rPr>
              <w:t xml:space="preserve">[Agency Name]</w:t>
            </w:r>
            <w:r>
              <w:rPr>
                <w:rFonts w:ascii="Aptos" w:cs="Aptos" w:eastAsia="Aptos" w:hAnsi="Aptos"/>
                <w:b w:val="false"/>
                <w:bCs w:val="false"/>
                <w:i w:val="false"/>
                <w:iCs w:val="false"/>
                <w:sz w:val="24"/>
                <w:szCs w:val="24"/>
              </w:rPr>
              <w:t xml:space="preserve"> under the authority of </w:t>
            </w:r>
            <w:r>
              <w:rPr>
                <w:rFonts w:ascii="Aptos" w:cs="Aptos" w:eastAsia="Aptos" w:hAnsi="Aptos"/>
                <w:b/>
                <w:bCs/>
                <w:i w:val="false"/>
                <w:iCs w:val="false"/>
                <w:sz w:val="24"/>
                <w:szCs w:val="24"/>
              </w:rPr>
              <w:t xml:space="preserve">[signing official / title]</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[Date]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 xml:space="preserve">[Date]</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[Role title]   </w:t>
            </w:r>
            <w:r>
              <w:rPr>
                <w:rFonts w:ascii="Aptos" w:cs="Aptos" w:eastAsia="Aptos" w:hAnsi="Aptos"/>
                <w:b w:val="false"/>
                <w:bCs w:val="false"/>
                <w:i/>
                <w:iCs/>
                <w:color w:val="595959"/>
                <w:sz w:val="24"/>
                <w:szCs w:val="24"/>
              </w:rPr>
              <w:t xml:space="preserve">«use a role, not a person’s name.»</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p>
            <w:pPr>
              <w:spacing w:after="0"/>
            </w:pPr>
            <w:r>
              <w:rPr>
                <w:rFonts w:ascii="Aptos" w:cs="Aptos" w:eastAsia="Aptos" w:hAnsi="Aptos"/>
                <w:i/>
                <w:iCs/>
                <w:color w:val="595959"/>
                <w:sz w:val="24"/>
                <w:szCs w:val="24"/>
              </w:rPr>
              <w:t xml:space="preserve">«Minimum for Procedure artifacts. Raise to Restricted when the procedure encodes defensive logic, isolation steps, or evidence handling.»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How to use this template </w:t>
            </w:r>
            <w:r>
              <w:rPr>
                <w:rFonts w:ascii="Aptos" w:cs="Aptos" w:eastAsia="Aptos" w:hAnsi="Aptos"/>
                <w:b w:val="false"/>
                <w:bCs w:val="false"/>
                <w:i/>
                <w:iCs/>
                <w:color w:val="595959"/>
                <w:sz w:val="24"/>
                <w:szCs w:val="24"/>
              </w:rPr>
              <w:t xml:space="preserve">(delete this box before publishing)</w:t>
            </w:r>
          </w:p>
          <w:p>
            <w:pPr>
              <w:spacing w:after="140"/>
            </w:pPr>
            <w:r>
              <w:rPr>
                <w:rFonts w:ascii="Aptos" w:cs="Aptos" w:eastAsia="Aptos" w:hAnsi="Aptos"/>
                <w:i/>
                <w:iCs/>
                <w:color w:val="595959"/>
                <w:sz w:val="24"/>
                <w:szCs w:val="24"/>
              </w:rPr>
              <w:t>This template is ready to adopt. Replace every [BRACKETED] field with your agency’s information, write the content described in each « » note, then delete all « » notes before publishing.</w:t>
            </w:r>
          </w:p>
          <w:p>
            <w:pPr>
              <w:spacing w:after="0"/>
            </w:pPr>
            <w:r>
              <w:rPr>
                <w:rFonts w:ascii="Aptos" w:cs="Aptos" w:eastAsia="Aptos" w:hAnsi="Aptos"/>
                <w:b/>
                <w:bCs/>
                <w:i w:val="false"/>
                <w:iCs w:val="false"/>
                <w:sz w:val="24"/>
                <w:szCs w:val="24"/>
              </w:rPr>
              <w:t xml:space="preserve">Placeholder key: </w:t>
            </w:r>
            <w:r>
              <w:rPr>
                <w:rFonts w:ascii="Aptos" w:cs="Aptos" w:eastAsia="Aptos" w:hAnsi="Aptos"/>
                <w:b w:val="false"/>
                <w:bCs w:val="false"/>
                <w:i w:val="false"/>
                <w:iCs w:val="false"/>
                <w:sz w:val="24"/>
                <w:szCs w:val="24"/>
              </w:rPr>
              <w:t xml:space="preserve">[BRACKETED]</w:t>
            </w:r>
            <w:r>
              <w:rPr>
                <w:rFonts w:ascii="Aptos" w:cs="Aptos" w:eastAsia="Aptos" w:hAnsi="Aptos"/>
                <w:b w:val="false"/>
                <w:bCs w:val="false"/>
                <w:i w:val="false"/>
                <w:iCs w:val="false"/>
                <w:sz w:val="24"/>
                <w:szCs w:val="24"/>
              </w:rPr>
              <w:t xml:space="preserve"> = fill in   ·   </w:t>
            </w:r>
            <w:r>
              <w:rPr>
                <w:rFonts w:ascii="Aptos" w:cs="Aptos" w:eastAsia="Aptos" w:hAnsi="Aptos"/>
                <w:b/>
                <w:bCs/>
                <w:i w:val="false"/>
                <w:iCs w:val="false"/>
                <w:sz w:val="24"/>
                <w:szCs w:val="24"/>
              </w:rPr>
              <w:t xml:space="preserve">[REQUIRED]</w:t>
            </w:r>
            <w:r>
              <w:rPr>
                <w:rFonts w:ascii="Aptos" w:cs="Aptos" w:eastAsia="Aptos" w:hAnsi="Aptos"/>
                <w:b w:val="false"/>
                <w:bCs w:val="false"/>
                <w:i w:val="false"/>
                <w:iCs w:val="false"/>
                <w:sz w:val="24"/>
                <w:szCs w:val="24"/>
              </w:rPr>
              <w:t xml:space="preserve"> (bold) = required field   ·   </w:t>
            </w:r>
            <w:r>
              <w:rPr>
                <w:rFonts w:ascii="Aptos" w:cs="Aptos" w:eastAsia="Aptos" w:hAnsi="Aptos"/>
                <w:b w:val="false"/>
                <w:bCs w:val="false"/>
                <w:i/>
                <w:iCs/>
                <w:color w:val="595959"/>
                <w:sz w:val="24"/>
                <w:szCs w:val="24"/>
              </w:rPr>
              <w:t xml:space="preserve">« »</w:t>
            </w:r>
            <w:r>
              <w:rPr>
                <w:rFonts w:ascii="Aptos" w:cs="Aptos" w:eastAsia="Aptos" w:hAnsi="Aptos"/>
                <w:b w:val="false"/>
                <w:bCs w:val="false"/>
                <w:i w:val="false"/>
                <w:iCs w:val="false"/>
                <w:sz w:val="24"/>
                <w:szCs w:val="24"/>
              </w:rPr>
              <w:t xml:space="preserve"> = guidance to delete.</w:t>
            </w:r>
          </w:p>
          <w:p>
            <w:pPr>
              <w:spacing w:after="140"/>
            </w:pPr>
            <w:r>
              <w:rPr>
                <w:rFonts w:ascii="Aptos" w:cs="Aptos" w:eastAsia="Aptos" w:hAnsi="Aptos"/>
                <w:i/>
                <w:iCs/>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«What this procedure accomplishes and when it is performed. One or two sentences.»</w:t>
      </w:r>
    </w:p>
    <w:p>
      <w:pPr>
        <w:spacing w:after="120" w:before="0"/>
      </w:pPr>
      <w:r>
        <w:rPr>
          <w:rFonts w:ascii="Aptos" w:cs="Aptos" w:eastAsia="Aptos" w:hAnsi="Aptos"/>
          <w:b w:val="false"/>
          <w:bCs w:val="false"/>
          <w:i w:val="false"/>
          <w:iCs w:val="false"/>
          <w:sz w:val="24"/>
          <w:szCs w:val="24"/>
        </w:rPr>
        <w:t xml:space="preserve">This procedure defines how the Agency responds to an unauthorized disclosure or spill of protected data: how it is detected, contained, investigated, and remediated, and how required notifications are made to regulators and affected individuals. It triggers from the Incident Response Plan for data-specific incidents.</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«What the procedure covers and excludes; which systems or roles it applies to.»</w:t>
      </w:r>
    </w:p>
    <w:p>
      <w:pPr>
        <w:pStyle w:val="ListParagraph"/>
        <w:numPr>
          <w:ilvl w:val="0"/>
          <w:numId w:val="2"/>
        </w:numPr>
        <w:spacing w:after="60"/>
      </w:pPr>
      <w:r>
        <w:rPr>
          <w:rFonts w:ascii="Aptos" w:cs="Aptos" w:eastAsia="Aptos" w:hAnsi="Aptos"/>
          <w:b w:val="false"/>
          <w:bCs w:val="false"/>
          <w:i w:val="false"/>
          <w:iCs w:val="false"/>
          <w:sz w:val="24"/>
          <w:szCs w:val="24"/>
        </w:rPr>
        <w:t xml:space="preserve">Applies to: personnel who handle a suspected data disclosure: the security coordinator, the [Director / Coordinator], and IT support.</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detection, containment, investigation, and remediation of an unauthorized disclosure of protected or CJIS-regulated data, and the notifications required by Indiana law and, where CJIS data is involved, CJIS reporting.</w:t>
      </w:r>
    </w:p>
    <w:p>
      <w:pPr>
        <w:pStyle w:val="ListParagraph"/>
        <w:numPr>
          <w:ilvl w:val="0"/>
          <w:numId w:val="2"/>
        </w:numPr>
        <w:spacing w:after="60"/>
      </w:pPr>
      <w:r>
        <w:rPr>
          <w:rFonts w:ascii="Aptos" w:cs="Aptos" w:eastAsia="Aptos" w:hAnsi="Aptos"/>
          <w:b w:val="false"/>
          <w:bCs w:val="false"/>
          <w:i w:val="false"/>
          <w:iCs w:val="false"/>
          <w:sz w:val="24"/>
          <w:szCs w:val="24"/>
        </w:rPr>
        <w:t xml:space="preserve">Excludes: [incidents with no data disclosure, which follow the Incident Response Plan; and public communications, which the [Director / Coordinator] owns].</w:t>
      </w:r>
    </w:p>
    <w:p>
      <w:pPr>
        <w:pStyle w:val="Heading2"/>
        <w:spacing w:after="100" w:before="220"/>
      </w:pPr>
      <w:r>
        <w:rPr>
          <w:rFonts w:ascii="Aptos" w:cs="Aptos" w:eastAsia="Aptos" w:hAnsi="Aptos"/>
          <w:b/>
          <w:bCs/>
          <w:color w:val="1B3A5C"/>
          <w:sz w:val="26"/>
          <w:szCs w:val="26"/>
        </w:rPr>
        <w:t xml:space="preserve">3. Prerequisites</w:t>
      </w:r>
    </w:p>
    <w:p>
      <w:pPr>
        <w:spacing w:after="140"/>
      </w:pPr>
      <w:r>
        <w:rPr>
          <w:rFonts w:ascii="Aptos" w:cs="Aptos" w:eastAsia="Aptos" w:hAnsi="Aptos"/>
          <w:i/>
          <w:iCs/>
          <w:color w:val="595959"/>
          <w:sz w:val="24"/>
          <w:szCs w:val="24"/>
        </w:rPr>
        <w:t xml:space="preserve">«What must be true or in hand before starting: access, tools, approvals, prior steps.»</w:t>
      </w:r>
    </w:p>
    <w:p>
      <w:pPr>
        <w:pStyle w:val="ListParagraph"/>
        <w:numPr>
          <w:ilvl w:val="0"/>
          <w:numId w:val="3"/>
        </w:numPr>
        <w:spacing w:after="60"/>
      </w:pPr>
      <w:r>
        <w:rPr>
          <w:rFonts w:ascii="Aptos" w:cs="Aptos" w:eastAsia="Aptos" w:hAnsi="Aptos"/>
          <w:b w:val="false"/>
          <w:bCs w:val="false"/>
          <w:i w:val="false"/>
          <w:iCs w:val="false"/>
          <w:sz w:val="24"/>
          <w:szCs w:val="24"/>
        </w:rPr>
        <w:t xml:space="preserve">The Data Classification Policy defines what data is protected and what counts as a reportable disclosure.</w:t>
      </w:r>
    </w:p>
    <w:p>
      <w:pPr>
        <w:pStyle w:val="ListParagraph"/>
        <w:numPr>
          <w:ilvl w:val="0"/>
          <w:numId w:val="3"/>
        </w:numPr>
        <w:spacing w:after="60"/>
      </w:pPr>
      <w:r>
        <w:rPr>
          <w:rFonts w:ascii="Aptos" w:cs="Aptos" w:eastAsia="Aptos" w:hAnsi="Aptos"/>
          <w:b w:val="false"/>
          <w:bCs w:val="false"/>
          <w:i w:val="false"/>
          <w:iCs w:val="false"/>
          <w:sz w:val="24"/>
          <w:szCs w:val="24"/>
        </w:rPr>
        <w:t xml:space="preserve">Current notification contacts: the Indiana Office of Technology, the Indiana Attorney General, and, where CJIS data is involved, the CJIS Systems Officer through IDACS.</w:t>
      </w:r>
    </w:p>
    <w:p>
      <w:pPr>
        <w:pStyle w:val="ListParagraph"/>
        <w:numPr>
          <w:ilvl w:val="0"/>
          <w:numId w:val="3"/>
        </w:numPr>
        <w:spacing w:after="60"/>
      </w:pPr>
      <w:r>
        <w:rPr>
          <w:rFonts w:ascii="Aptos" w:cs="Aptos" w:eastAsia="Aptos" w:hAnsi="Aptos"/>
          <w:b w:val="false"/>
          <w:bCs w:val="false"/>
          <w:i w:val="false"/>
          <w:iCs w:val="false"/>
          <w:sz w:val="24"/>
          <w:szCs w:val="24"/>
        </w:rPr>
        <w:t xml:space="preserve">A way to determine the number of Indiana residents affected, which sets the Attorney General notification threshold.</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i/>
          <w:iCs/>
          <w:color w:val="595959"/>
          <w:sz w:val="24"/>
          <w:szCs w:val="24"/>
        </w:rPr>
        <w:t xml:space="preserve">«Steps in execution order. One action per step. Name the responsible role per step.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 and confirm: confirm that protected data was disclosed to or accessed by someone without authorization, and classify the data involved using the Data Classification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stop the ongoing disclosure (revoke access, recall or delete the data, close the exposure) and preserve evidence per the Evidence Collection &amp; Chain-of-Custody Procedures.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Investigate: determine what data, whose data, how much, and how it happened, and record it in the Incident Log / Register.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Assess notification duties: determine which notifications apply and their deadlines using the Notification Requirements below.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Notify: make each required notification within its deadline and keep proof of each.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Remediate and close: fix the cause, record corrective actions, and feed them to the Risk Register and the After-Action Reports.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40"/>
      </w:pPr>
      <w:r>
        <w:rPr>
          <w:rFonts w:ascii="Aptos" w:cs="Aptos" w:eastAsia="Aptos" w:hAnsi="Aptos"/>
          <w:i/>
          <w:iCs/>
          <w:color w:val="595959"/>
          <w:sz w:val="24"/>
          <w:szCs w:val="24"/>
        </w:rPr>
        <w:t xml:space="preserve">«How the operator confirms the procedure worked. State the observable result, not the action.»</w:t>
      </w:r>
    </w:p>
    <w:p>
      <w:pPr>
        <w:spacing w:after="120" w:before="0"/>
      </w:pPr>
      <w:r>
        <w:rPr>
          <w:rFonts w:ascii="Aptos" w:cs="Aptos" w:eastAsia="Aptos" w:hAnsi="Aptos"/>
          <w:b w:val="false"/>
          <w:bCs w:val="false"/>
          <w:i w:val="false"/>
          <w:iCs w:val="false"/>
          <w:sz w:val="24"/>
          <w:szCs w:val="24"/>
        </w:rPr>
        <w:t xml:space="preserve">The disclosure was contained, the affected data and residents were identified, every required notification was made within its statutory deadline with proof retained, and corrective actions were recorded and tracked to closure.</w:t>
      </w:r>
    </w:p>
    <w:p>
      <w:pPr>
        <w:pStyle w:val="Heading2"/>
        <w:spacing w:after="100" w:before="220"/>
      </w:pPr>
      <w:r>
        <w:rPr>
          <w:rFonts w:ascii="Aptos" w:cs="Aptos" w:eastAsia="Aptos" w:hAnsi="Aptos"/>
          <w:b/>
          <w:bCs/>
          <w:color w:val="1B3A5C"/>
          <w:sz w:val="26"/>
          <w:szCs w:val="26"/>
        </w:rPr>
        <w:t xml:space="preserve">6. Notification Requirements</w:t>
      </w:r>
    </w:p>
    <w:p>
      <w:pPr>
        <w:spacing w:after="60"/>
      </w:pPr>
      <w:r>
        <w:rPr>
          <w:i/>
          <w:color w:val="595959"/>
        </w:rPr>
        <w:t xml:space="preserve">« Who is notified, by whom, and by when. Deadlines are set by Indiana law; keep proof of each notification.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Who notifies</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Channel</w:t>
            </w:r>
          </w:p>
        </w:tc>
        <w:tc>
          <w:tcPr>
            <w:tcW w:type="dxa" w:w="234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Timeframe / trigger</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Indiana Office of Technology (IOT)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[IOT cyber incident report]</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Within 2 business days of a cybersecurity incident (HEA 1169)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Indiana Attorney General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[written notification]</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When more than 500 Indiana residents are affected, without unreasonable delay (IC 24-4.9)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Affected Indiana residents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[individual notice]</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Without unreasonable delay after discovery (IC 24-4.9)</w:t>
            </w:r>
          </w:p>
        </w:tc>
      </w:tr>
      <w:tr>
        <w:trPr>
          <w:cantSplit/>
        </w:trPr>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CJIS Systems Officer (via IDACS)</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[CSO / IDACS channel]</w:t>
            </w:r>
          </w:p>
        </w:tc>
        <w:tc>
          <w:tcPr>
            <w:tcW w:type="dxa" w:w="23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When CJIS-regulated data is disclosed, per CJIS Security Policy</w:t>
            </w:r>
          </w:p>
        </w:tc>
      </w:tr>
    </w:tbl>
    <w:p>
      <w:pPr>
        <w:spacing w:after="60"/>
      </w:pPr>
    </w:p>
    <w:p>
      <w:pPr>
        <w:pStyle w:val="Heading2"/>
        <w:spacing w:after="100" w:before="220"/>
      </w:pPr>
      <w:r>
        <w:rPr>
          <w:rFonts w:ascii="Aptos" w:cs="Aptos" w:eastAsia="Aptos" w:hAnsi="Aptos"/>
          <w:b/>
          <w:bCs/>
          <w:color w:val="1B3A5C"/>
          <w:sz w:val="26"/>
          <w:szCs w:val="26"/>
        </w:rPr>
        <w:t xml:space="preserve">7. Related Documents</w:t>
      </w:r>
    </w:p>
    <w:p>
      <w:pPr>
        <w:spacing w:after="140"/>
      </w:pPr>
      <w:r>
        <w:rPr>
          <w:rFonts w:ascii="Aptos" w:cs="Aptos" w:eastAsia="Aptos" w:hAnsi="Aptos"/>
          <w:i/>
          <w:iCs/>
          <w:color w:val="595959"/>
          <w:sz w:val="24"/>
          <w:szCs w:val="24"/>
        </w:rPr>
        <w:t xml:space="preserve">«Reference dependent artifacts by their Tracker name. Point, do not restate.»</w:t>
      </w:r>
    </w:p>
    <w:p>
      <w:pPr>
        <w:spacing w:after="120" w:before="0"/>
      </w:pPr>
      <w:r>
        <w:rPr>
          <w:rFonts w:ascii="Aptos" w:cs="Aptos" w:eastAsia="Aptos" w:hAnsi="Aptos"/>
          <w:b w:val="false"/>
          <w:bCs w:val="false"/>
          <w:i w:val="false"/>
          <w:iCs w:val="false"/>
          <w:sz w:val="24"/>
          <w:szCs w:val="24"/>
        </w:rPr>
        <w:t xml:space="preserve">Incident Response Plan; Data Classification Policy; Evidence Collection &amp; Chain-of-Custody Procedures; Incident Log / Register; Risk Register; After-Action Reports.</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director runs the response with county or vendor IT: contain the exposure, work out whose data and how many Indiana residents, and make the notifications. Keep the IOT and Attorney General contact details on hand and a simple record of what was sent and when.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 coordinator investigates and contains while the director handles notifications; the resident count drives whether the Attorney General must be told.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The security role runs containment and investigation, legal reviews the notification duties, and the director notifies within each statutory deadline, with proof retained.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bCs w:val="false"/>
                <w:iCs w:val="false"/>
                <w:sz w:val="24"/>
                <w:szCs w:val="24"/>
              </w:rPr>
              <w:t xml:space="preserve">NENA-STA-040.2-2024: §5.6.5 (Incident Response)</w:t>
            </w:r>
          </w:p>
          <w:p>
            <w:pPr>
              <w:spacing w:after="40" w:before="0"/>
            </w:pPr>
            <w:r>
              <w:rPr>
                <w:rFonts w:ascii="Aptos" w:cs="Aptos" w:eastAsia="Aptos" w:hAnsi="Aptos"/>
                <w:bCs w:val="false"/>
                <w:iCs w:val="false"/>
                <w:sz w:val="24"/>
                <w:szCs w:val="24"/>
              </w:rPr>
              <w:t xml:space="preserve">NIST SP 800-53 Rev. 5: IR-4, IR-6</w:t>
            </w:r>
          </w:p>
          <w:p>
            <w:pPr>
              <w:spacing w:after="40" w:before="0"/>
            </w:pPr>
            <w:r>
              <w:rPr>
                <w:rFonts w:ascii="Aptos" w:cs="Aptos" w:eastAsia="Aptos" w:hAnsi="Aptos"/>
                <w:bCs w:val="false"/>
                <w:iCs w:val="false"/>
                <w:sz w:val="24"/>
                <w:szCs w:val="24"/>
              </w:rPr>
              <w:t xml:space="preserve">Indiana statutes and administrative code: HEA 1169 (2021), cyber incident reporting to IOT; IC 24-4.9, data breach notification to the Indiana Attorney General and affected residents</w:t>
            </w:r>
          </w:p>
          <w:p>
            <w:pPr>
              <w:spacing w:after="40" w:before="0"/>
            </w:pPr>
            <w:r>
              <w:rPr>
                <w:rFonts w:ascii="Aptos" w:cs="Aptos" w:eastAsia="Aptos" w:hAnsi="Aptos"/>
                <w:bCs w:val="false"/>
                <w:iCs w:val="false"/>
                <w:sz w:val="24"/>
                <w:szCs w:val="24"/>
              </w:rPr>
              <w:t xml:space="preserve">CJIS Security Policy v5.9: §5.3 (Incident Response) (if CJIS-regulated data is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Drafter’s note </w:t>
            </w:r>
            <w:r>
              <w:rPr>
                <w:rFonts w:ascii="Aptos" w:cs="Aptos" w:eastAsia="Aptos" w:hAnsi="Aptos"/>
                <w:b w:val="false"/>
                <w:bCs w:val="false"/>
                <w:i/>
                <w:iCs/>
                <w:color w:val="595959"/>
                <w:sz w:val="24"/>
                <w:szCs w:val="24"/>
              </w:rPr>
              <w:t xml:space="preserve">(internal, delete before publishing)</w:t>
            </w:r>
          </w:p>
          <w:p>
            <w:pPr>
              <w:spacing w:after="140"/>
            </w:pPr>
            <w:r>
              <w:rPr>
                <w:rFonts w:ascii="Aptos" w:cs="Aptos" w:eastAsia="Aptos" w:hAnsi="Aptos"/>
                <w:i/>
                <w:iCs/>
                <w:color w:val="595959"/>
                <w:sz w:val="24"/>
                <w:szCs w:val="24"/>
              </w:rPr>
              <w:t xml:space="preserve">Confirm the current notification contacts for the Indiana Office of Technology and the Indiana Attorney General, and the Agency's method for counting affected Indiana residents against the 500-resident Attorney General threshold. Confirm whether a disclosure of CJIS-regulated data also triggers CJIS reporting through IDACS.</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Unauthorized Disclosure Response &amp; Notification Procedures - FORM</dc:title>
</cp:coreProperties>
</file>

<file path=docProps/custom.xml><?xml version="1.0" encoding="utf-8"?>
<Properties xmlns="http://schemas.openxmlformats.org/officeDocument/2006/custom-properties" xmlns:vt="http://schemas.openxmlformats.org/officeDocument/2006/docPropsVTypes"/>
</file>