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 xml:space="preserve">Patch Testing Procedure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Authority: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Adopted by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[Agency Name]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 under the authority of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[signing official / title]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Version: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Effective Date: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    </w:t>
            </w: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Next Review: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Owner: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[IT Support Lead]   </w:t>
            </w:r>
            <w:r>
              <w:rPr>
                <w:rFonts w:ascii="Aptos" w:cs="Aptos" w:eastAsia="Aptos" w:hAnsi="Aptos"/>
                <w:b w:val="false"/>
                <w:bCs w:val="false"/>
                <w:i/>
                <w:iCs/>
                <w:color w:val="595959"/>
                <w:sz w:val="24"/>
                <w:szCs w:val="24"/>
              </w:rPr>
              <w:t xml:space="preserve">«use a role, not a person’s name.»</w:t>
            </w:r>
          </w:p>
          <w:p>
            <w:pPr>
              <w:spacing w:after="20"/>
            </w:pPr>
            <w:r>
              <w:rPr>
                <w:rFonts w:ascii="Aptos" w:cs="Aptos" w:eastAsia="Aptos" w:hAnsi="Aptos"/>
                <w:b/>
                <w:bCs/>
                <w:i w:val="false"/>
                <w:iCs w:val="false"/>
                <w:sz w:val="24"/>
                <w:szCs w:val="24"/>
              </w:rPr>
              <w:t xml:space="preserve">Classification: </w:t>
            </w:r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Internal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i/>
                <w:iCs/>
                <w:color w:val="595959"/>
                <w:sz w:val="24"/>
                <w:szCs w:val="24"/>
              </w:rPr>
              <w:t xml:space="preserve">« Minimum for this artifact: a testing method, not defensive configuration. Your agency may raise but not lower it. 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How to use this template </w:t>
            </w:r>
            <w:r>
              <w:rPr>
                <w:rFonts w:ascii="Aptos" w:cs="Aptos" w:eastAsia="Aptos" w:hAnsi="Aptos"/>
                <w:color w:val="595959"/>
                <w:sz w:val="24"/>
                <w:szCs w:val="24"/>
              </w:rPr>
              <w:t xml:space="preserve">(delete this box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Placeholder key: [BRACKETED] = fill in   ·   [REQUIRED] (bold) = required field   ·   « » = guidance to delete.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1. Purpose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this procedure accomplishes and when it is performed. One or two sentences.»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This procedure sets out how operating-system, firmware, and application updates are tested in a non-production environment before they reach live dispatch systems. It confirms each update is authentic before installation and intact after deployment, so a bad or tampered update does not disrupt 9-1-1 service.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2. Scope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the procedure covers and excludes; which systems or roles it applies to.»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Applies to: IT support staff and anyone who tests or deploys updates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Covers: operating-system, firmware, and application updates for dispatch and production systems, including session border controllers and other specialized gear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Excludes: emergency changes, which follow the Emergency Change Procedures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3. Prerequisites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«What must be true or in hand before starting: access, tools, approvals, prior steps.»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A non-production or test environment kept separate from live dispatch systems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The current patch sources and the vendor signature or hash references used to check authenticity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Change authorization under the Change Management Policy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4. Procedure Steps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«Steps in execution order. One action per step. Name the responsible role per step. Plain English.»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"/>
        <w:gridCol w:w="6280"/>
        <w:gridCol w:w="2000"/>
      </w:tblGrid>
      <w:tr>
        <w:trPr>
          <w:cantSplit/>
          <w:tblHeader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Step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Responsible role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Obtain the update from a trusted, authenticated source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[IT support]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Verify authenticity: check the publisher signature or compare the vendor-published hash before installing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[IT support]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Apply the update in the non-production test environment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[IT support]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Test core function and stability: call handling, CAD, and mapping as applicable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[IT support / operations]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test result and obtain change approval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[IT support / approver]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Deploy to production during an approved maintenance window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[IT support]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7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Verify post-deployment integrity with a hash check and review logs for errors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[IT support]</w:t>
            </w:r>
          </w:p>
        </w:tc>
      </w:tr>
      <w:tr>
        <w:trPr>
          <w:cantSplit/>
        </w:trPr>
        <w:tc>
          <w:tcPr>
            <w:tcW w:type="dxa" w:w="1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</w:t>
            </w:r>
          </w:p>
        </w:tc>
        <w:tc>
          <w:tcPr>
            <w:tcW w:type="dxa" w:w="6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Record the outcome in the Patch Management Schedule &amp; Tracking Log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[IT support]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5. Verification Criteria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«How the operator confirms the procedure worked. State the observable result, not the action.»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Every update is authenticity-checked before installation and integrity-verified by hash after deployment; the test result and post-deployment log review are recorded before the change is closed.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6. Related Documents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«Reference dependent artifacts by their Tracker name. Point, do not restate.»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 xml:space="preserve">Change Management Policy; Patch Management Schedule &amp; Tracking Log; Configuration Drift Detection Records; Log Integrity Verification Procedures.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 separate lab is expected. Test a critical update on one non-production machine or a spare, confirm the vendor signature first, and keep a fast rollback such as an image or restore point. The county or vendor IT contact runs it and records the result.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small test environment or a pilot group of non-critical machines. Updates are signature-checked, tested, approved, then deployed in a maintenance window, with a post-deployment integrity check.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 managed non-production environment that mirrors production, automated signature and hash validation, staged rollout, and post-deployment monitoring, all under change control.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Source Authority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i w:val="false"/>
                <w:iCs w:val="false"/>
                <w:color w:val="595959"/>
                <w:sz w:val="24"/>
                <w:szCs w:val="24"/>
              </w:rPr>
              <w:t xml:space="preserve">List only the authorities that map to content in this artifact. Group by authority; order sections and control IDs numerically; add no padding.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NENA-STA-040.2-2024: §5.2, §5.5</w:t>
            </w:r>
          </w:p>
          <w:p>
            <w:pPr>
              <w:spacing w:after="40" w:before="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NIST SP 800-53 Rev. 5: CM-3, CM-4, CM-14, SI-2, SI-7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Approval Signatures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cantSplit/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[Approving official / title]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[Owner role]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cantSplit/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cs="Aptos" w:eastAsia="Aptos" w:hAnsi="Aptos"/>
                <w:b/>
                <w:bCs/>
                <w:color w:val="1B3A5C"/>
                <w:sz w:val="24"/>
                <w:szCs w:val="24"/>
              </w:rPr>
              <w:t xml:space="preserve">Drafter's note </w:t>
            </w:r>
            <w:r>
              <w:rPr>
                <w:rFonts w:ascii="Aptos" w:cs="Aptos" w:eastAsia="Aptos" w:hAnsi="Aptos"/>
                <w:color w:val="595959"/>
                <w:sz w:val="24"/>
                <w:szCs w:val="24"/>
              </w:rPr>
              <w:t xml:space="preserve">(internal, delete before publishing)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Standard Procedure shell, kept as-is. The two checks the assessment requires are called out as explicit steps and verification criteria: authenticity (publisher signature or vendor hash) before installation, and integrity (hash) plus log review after deployment.</w:t>
            </w:r>
          </w:p>
          <w:p>
            <w:pPr>
              <w:spacing w:after="140"/>
            </w:pPr>
            <w:r>
              <w:rPr>
                <w:rFonts w:ascii="Aptos" w:cs="Aptos" w:eastAsia="Aptos" w:hAnsi="Aptos"/>
                <w:sz w:val="24"/>
                <w:szCs w:val="24"/>
              </w:rPr>
              <w:t xml:space="preserve">Small profiles rarely have a separate test environment, so the Profile Scaling note gives the minimum-viable equivalent. This procedure depends on the Change Management Policy; outcomes are recorded in the Patch Management Schedule &amp; Tracking Log. Agency-supplied values in brackets: [Agency Name], owner and signing roles, version and dates, and the roles named per step.</w:t>
            </w:r>
          </w:p>
        </w:tc>
      </w:tr>
    </w:tbl>
    <w:p/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  <w:r>
      <w:rPr>
        <w:rFonts w:ascii="Aptos" w:cs="Aptos" w:eastAsia="Aptos" w:hAnsi="Aptos"/>
        <w:color w:val="595959"/>
        <w:sz w:val="16"/>
        <w:szCs w:val="16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  <w:num w:numId="2">
    <w:abstractNumId w:val="11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pPr>
      <w:keepNext/>
      <w:keepLines/>
      <w:spacing w:after="100" w:before="220"/>
      <w:outlineLvl w:val="2"/>
    </w:pPr>
    <w:rPr>
      <w:rFonts w:ascii="Aptos" w:cs="Aptos" w:eastAsia="Aptos" w:hAnsi="Aptos"/>
      <w:b/>
      <w:bCs/>
      <w:color w:val="1B3A5C"/>
      <w:sz w:val="26"/>
      <w:szCs w:val="26"/>
    </w:rPr>
  </w:style>
  <w:style w:type="paragraph" w:styleId="Heading4">
    <w:name w:val="Heading 4"/>
    <w:basedOn w:val="Normal"/>
    <w:next w:val="Normal"/>
    <w:qFormat/>
    <w:pPr>
      <w:keepNext/>
      <w:keepLines/>
      <w:spacing w:after="100" w:before="220"/>
      <w:outlineLvl w:val="3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100" w:before="220"/>
      <w:outlineLvl w:val="4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100" w:before="220"/>
      <w:outlineLvl w:val="5"/>
    </w:pPr>
    <w:rPr>
      <w:rFonts w:ascii="Aptos" w:cs="Aptos" w:eastAsia="Aptos" w:hAnsi="Aptos"/>
      <w:b/>
      <w:bCs/>
      <w:color w:val="1B3A5C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911 Authority in partnership with IN911</dc:creator>
  <cp:lastModifiedBy/>
  <cp:revision>1</cp:revision>
  <dcterms:created xsi:type="dcterms:W3CDTF">2026-06-01T15:29:11.455Z</dcterms:created>
  <dcterms:modified xsi:type="dcterms:W3CDTF">2026-06-01T15:29:11.455Z</dcterms:modified>
  <dc:title xmlns:dc="http://purl.org/dc/elements/1.1/">Patch Testing Procedure -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