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Logging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 xml:space="preserve">Internal</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This Logging Policy stays Internal as a statement of intent and roles. If it is expanded to carry live logging configuration or detection logic, raise it to Restricted; that as-built detail belongs in the system configuration records, not in this policy.»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 xml:space="preserve">This policy defines how [Agency Name] generates, protects, reviews, and analyzes logs across its emergency communications systems. It sets what must be logged, who is responsible, and how long logs are kept, so the Agency can detect and investigate security events.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all Agency personnel and contractors responsible for operating, securing, or reviewing Agency systems.</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every system in scope of the Master Asset Inventory, including call handling, CAD, the ESInet connection, logging and recording systems, network infrastructure, and the endpoints and accounts that support them.</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[list any systems outside this policy.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 xml:space="preserve">Security-relevant event: any event that bears on the security of a system or its data, such as a login, an access to sensitive data, a configuration change, or an account change.</w:t>
      </w:r>
    </w:p>
    <w:p>
      <w:pPr>
        <w:pStyle w:val="Heading2"/>
        <w:spacing w:after="100" w:before="220"/>
      </w:pPr>
      <w:r>
        <w:rPr>
          <w:rFonts w:ascii="Aptos" w:cs="Aptos" w:eastAsia="Aptos" w:hAnsi="Aptos"/>
          <w:b/>
          <w:bCs/>
          <w:color w:val="1B3A5C"/>
          <w:sz w:val="26"/>
          <w:szCs w:val="26"/>
        </w:rPr>
        <w:t xml:space="preserve">4. Logging Requirements</w:t>
      </w:r>
    </w:p>
    <w:p>
      <w:pPr>
        <w:spacing w:after="140"/>
      </w:pPr>
      <w:r>
        <w:rPr>
          <w:rFonts w:ascii="Aptos" w:cs="Aptos" w:eastAsia="Aptos" w:hAnsi="Aptos"/>
          <w:i/>
          <w:iCs/>
          <w:color w:val="595959"/>
          <w:sz w:val="24"/>
          <w:szCs w:val="24"/>
        </w:rPr>
        <w:t xml:space="preserve">«The enforceable core, as numbered statements, plus the minimum event content and the logging depth expected at each system tier. Scope and tiers come from the Master Asset Inventory and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enable logging on every system in scope, with logging depth scaled to the system’s criticality as ranked in the Asset Criticality Ranking Matrix.</w:t>
      </w:r>
    </w:p>
    <w:p>
      <w:pPr>
        <w:pStyle w:val="ListParagraph"/>
        <w:numPr>
          <w:ilvl w:val="0"/>
          <w:numId w:val="3"/>
        </w:numPr>
        <w:spacing w:after="60"/>
      </w:pPr>
      <w:r>
        <w:rPr>
          <w:rFonts w:ascii="Aptos" w:cs="Aptos" w:eastAsia="Aptos" w:hAnsi="Aptos"/>
          <w:b w:val="false"/>
          <w:bCs w:val="false"/>
          <w:i w:val="false"/>
          <w:iCs w:val="false"/>
          <w:sz w:val="24"/>
          <w:szCs w:val="24"/>
        </w:rPr>
        <w:t xml:space="preserve">Critical systems, including call handling, CAD, the ESInet connection, and the systems that authenticate or administer them, shall log security-relevant events continuously.</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set a minimum retention period for each log source and retain logs at least that long. Retention periods are recorded in the Log Retention Schedule.</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protect logs against alteration and deletion and shall restrict access to them.</w:t>
      </w:r>
    </w:p>
    <w:p>
      <w:pPr>
        <w:pStyle w:val="ListParagraph"/>
        <w:numPr>
          <w:ilvl w:val="0"/>
          <w:numId w:val="3"/>
        </w:numPr>
        <w:spacing w:after="60"/>
      </w:pPr>
      <w:r>
        <w:rPr>
          <w:rFonts w:ascii="Aptos" w:cs="Aptos" w:eastAsia="Aptos" w:hAnsi="Aptos"/>
          <w:b w:val="false"/>
          <w:bCs w:val="false"/>
          <w:i w:val="false"/>
          <w:iCs w:val="false"/>
          <w:sz w:val="24"/>
          <w:szCs w:val="24"/>
        </w:rPr>
        <w:t xml:space="preserve">The Agency shall review logs on a defined cadence and analyze them for signs of compromise.</w:t>
      </w:r>
    </w:p>
    <w:p>
      <w:pPr>
        <w:pStyle w:val="ListParagraph"/>
        <w:numPr>
          <w:ilvl w:val="0"/>
          <w:numId w:val="3"/>
        </w:numPr>
        <w:spacing w:after="60"/>
      </w:pPr>
      <w:r>
        <w:rPr>
          <w:rFonts w:ascii="Aptos" w:cs="Aptos" w:eastAsia="Aptos" w:hAnsi="Aptos"/>
          <w:b w:val="false"/>
          <w:bCs w:val="false"/>
          <w:i w:val="false"/>
          <w:iCs w:val="false"/>
          <w:sz w:val="24"/>
          <w:szCs w:val="24"/>
        </w:rPr>
        <w:t xml:space="preserve">[Add Agency-specific requirements.]</w:t>
      </w:r>
    </w:p>
    <w:p>
      <w:pPr>
        <w:spacing w:after="120" w:before="0"/>
      </w:pPr>
      <w:r>
        <w:rPr>
          <w:rFonts w:ascii="Aptos" w:cs="Aptos" w:eastAsia="Aptos" w:hAnsi="Aptos"/>
          <w:b w:val="false"/>
          <w:bCs w:val="false"/>
          <w:i w:val="false"/>
          <w:iCs w:val="false"/>
          <w:sz w:val="24"/>
          <w:szCs w:val="24"/>
        </w:rPr>
        <w:t xml:space="preserve">Each log record captures, at a minimum:</w:t>
      </w:r>
    </w:p>
    <w:p>
      <w:pPr>
        <w:pStyle w:val="ListParagraph"/>
        <w:numPr>
          <w:ilvl w:val="0"/>
          <w:numId w:val="2"/>
        </w:numPr>
        <w:spacing w:after="60"/>
      </w:pPr>
      <w:r>
        <w:rPr>
          <w:rFonts w:ascii="Aptos" w:cs="Aptos" w:eastAsia="Aptos" w:hAnsi="Aptos"/>
          <w:b w:val="false"/>
          <w:bCs w:val="false"/>
          <w:i w:val="false"/>
          <w:iCs w:val="false"/>
          <w:sz w:val="24"/>
          <w:szCs w:val="24"/>
        </w:rPr>
        <w:t xml:space="preserve">the date and time, synchronized to a common time source;</w:t>
      </w:r>
    </w:p>
    <w:p>
      <w:pPr>
        <w:pStyle w:val="ListParagraph"/>
        <w:numPr>
          <w:ilvl w:val="0"/>
          <w:numId w:val="2"/>
        </w:numPr>
        <w:spacing w:after="60"/>
      </w:pPr>
      <w:r>
        <w:rPr>
          <w:rFonts w:ascii="Aptos" w:cs="Aptos" w:eastAsia="Aptos" w:hAnsi="Aptos"/>
          <w:b w:val="false"/>
          <w:bCs w:val="false"/>
          <w:i w:val="false"/>
          <w:iCs w:val="false"/>
          <w:sz w:val="24"/>
          <w:szCs w:val="24"/>
        </w:rPr>
        <w:t xml:space="preserve">the user or system account involved;</w:t>
      </w:r>
    </w:p>
    <w:p>
      <w:pPr>
        <w:pStyle w:val="ListParagraph"/>
        <w:numPr>
          <w:ilvl w:val="0"/>
          <w:numId w:val="2"/>
        </w:numPr>
        <w:spacing w:after="60"/>
      </w:pPr>
      <w:r>
        <w:rPr>
          <w:rFonts w:ascii="Aptos" w:cs="Aptos" w:eastAsia="Aptos" w:hAnsi="Aptos"/>
          <w:b w:val="false"/>
          <w:bCs w:val="false"/>
          <w:i w:val="false"/>
          <w:iCs w:val="false"/>
          <w:sz w:val="24"/>
          <w:szCs w:val="24"/>
        </w:rPr>
        <w:t xml:space="preserve">the event type and the system or data affected;</w:t>
      </w:r>
    </w:p>
    <w:p>
      <w:pPr>
        <w:pStyle w:val="ListParagraph"/>
        <w:numPr>
          <w:ilvl w:val="0"/>
          <w:numId w:val="2"/>
        </w:numPr>
        <w:spacing w:after="60"/>
      </w:pPr>
      <w:r>
        <w:rPr>
          <w:rFonts w:ascii="Aptos" w:cs="Aptos" w:eastAsia="Aptos" w:hAnsi="Aptos"/>
          <w:b w:val="false"/>
          <w:bCs w:val="false"/>
          <w:i w:val="false"/>
          <w:iCs w:val="false"/>
          <w:sz w:val="24"/>
          <w:szCs w:val="24"/>
        </w:rPr>
        <w:t xml:space="preserve">whether the action succeeded or failed;</w:t>
      </w:r>
    </w:p>
    <w:p>
      <w:pPr>
        <w:pStyle w:val="ListParagraph"/>
        <w:numPr>
          <w:ilvl w:val="0"/>
          <w:numId w:val="2"/>
        </w:numPr>
        <w:spacing w:after="60"/>
      </w:pPr>
      <w:r>
        <w:rPr>
          <w:rFonts w:ascii="Aptos" w:cs="Aptos" w:eastAsia="Aptos" w:hAnsi="Aptos"/>
          <w:b w:val="false"/>
          <w:bCs w:val="false"/>
          <w:i w:val="false"/>
          <w:iCs w:val="false"/>
          <w:sz w:val="24"/>
          <w:szCs w:val="24"/>
        </w:rPr>
        <w:t xml:space="preserve">the source of the action, such as host or network address, where the system records it.</w:t>
      </w:r>
    </w:p>
    <w:p>
      <w:pPr>
        <w:spacing w:after="120" w:before="0"/>
      </w:pPr>
      <w:r>
        <w:rPr>
          <w:rFonts w:ascii="Aptos" w:cs="Aptos" w:eastAsia="Aptos" w:hAnsi="Aptos"/>
          <w:b w:val="false"/>
          <w:bCs w:val="false"/>
          <w:i w:val="false"/>
          <w:iCs w:val="false"/>
          <w:sz w:val="24"/>
          <w:szCs w:val="24"/>
        </w:rPr>
        <w:t xml:space="preserve">Logging depth is scaled to each system’s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System tier</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 logging expectation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Critical (call handling, CAD, ESInet, authentication/admin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logging of security-relevant events; retained per the Log Retention Schedule; reviewed on the defined cadence and after any incident.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High (supporting servers, network infrastructure, endpoints with sensitive access)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of access, account, and configuration changes; retained per schedule; reviewed periodically.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Standard (low-sensitivity systems)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Logging where available; reviewed on event or exception.</w:t>
            </w:r>
          </w:p>
        </w:tc>
      </w:tr>
    </w:tbl>
    <w:p>
      <w:pPr>
        <w:pStyle w:val="Heading2"/>
        <w:spacing w:after="100" w:before="220"/>
      </w:pPr>
      <w:r>
        <w:rPr>
          <w:rFonts w:ascii="Aptos" w:cs="Aptos" w:eastAsia="Aptos" w:hAnsi="Aptos"/>
          <w:b/>
          <w:bCs/>
          <w:color w:val="1B3A5C"/>
          <w:sz w:val="26"/>
          <w:szCs w:val="26"/>
        </w:rPr>
        <w:t xml:space="preserve">5. Log Protection &amp; Integrity</w:t>
      </w:r>
    </w:p>
    <w:p>
      <w:pPr>
        <w:spacing w:after="140"/>
      </w:pPr>
      <w:r>
        <w:rPr>
          <w:rFonts w:ascii="Aptos" w:cs="Aptos" w:eastAsia="Aptos" w:hAnsi="Aptos"/>
          <w:i/>
          <w:iCs/>
          <w:color w:val="595959"/>
          <w:sz w:val="24"/>
          <w:szCs w:val="24"/>
        </w:rPr>
        <w:t xml:space="preserve">«How logs are kept trustworthy. Name the intent; the verification method lives in the Log Integrity Verification Procedures.»</w:t>
      </w:r>
    </w:p>
    <w:p>
      <w:pPr>
        <w:spacing w:after="120" w:before="0"/>
      </w:pPr>
      <w:r>
        <w:rPr>
          <w:rFonts w:ascii="Aptos" w:cs="Aptos" w:eastAsia="Aptos" w:hAnsi="Aptos"/>
          <w:b w:val="false"/>
          <w:bCs w:val="false"/>
          <w:i w:val="false"/>
          <w:iCs w:val="false"/>
          <w:sz w:val="24"/>
          <w:szCs w:val="24"/>
        </w:rPr>
        <w:t xml:space="preserve">Logs are stored so they cannot be altered or deleted by ordinary users. The Agency restricts log access to assigned roles and, where the system supports it, writes logs to protected or write-once storage. The methods used to verify log integrity are defined in the Log Integrity Verification Procedures.</w:t>
      </w:r>
    </w:p>
    <w:p>
      <w:pPr>
        <w:pStyle w:val="Heading2"/>
        <w:spacing w:after="100" w:before="220"/>
      </w:pPr>
      <w:r>
        <w:rPr>
          <w:rFonts w:ascii="Aptos" w:cs="Aptos" w:eastAsia="Aptos" w:hAnsi="Aptos"/>
          <w:b/>
          <w:bCs/>
          <w:color w:val="1B3A5C"/>
          <w:sz w:val="26"/>
          <w:szCs w:val="26"/>
        </w:rPr>
        <w:t xml:space="preserve">6.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Owns this policy and confirms every in-scope system has assigned owners for the four logging duties: generate, protect, review, and analyze.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Generates logs by configuring logging on in-scope systems, and protects them by securing storage and restricting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 / log reviewer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Reviews logs on the defined cadence and analyzes them for signs of compromise; escalates findings under the Incident Response Plan.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System / data owners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Confirm their systems are in scope and logging at the required depth.</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Do not disable or tamper with logging.</w:t>
            </w:r>
          </w:p>
        </w:tc>
      </w:tr>
    </w:tbl>
    <w:p>
      <w:pPr>
        <w:pStyle w:val="Heading2"/>
        <w:spacing w:after="100" w:before="220"/>
      </w:pPr>
      <w:r>
        <w:rPr>
          <w:rFonts w:ascii="Aptos" w:cs="Aptos" w:eastAsia="Aptos" w:hAnsi="Aptos"/>
          <w:b/>
          <w:bCs/>
          <w:color w:val="1B3A5C"/>
          <w:sz w:val="26"/>
          <w:szCs w:val="26"/>
        </w:rPr>
        <w:t xml:space="preserve">7.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 xml:space="preserve">Compliance is checked through periodic review of logging configuration and review records. A gap is recorded as a finding and tracked to closure. Repeated failure to log or review is handled under the Agency’s corrective process.</w:t>
      </w:r>
    </w:p>
    <w:p>
      <w:pPr>
        <w:pStyle w:val="Heading2"/>
        <w:spacing w:after="100" w:before="220"/>
      </w:pPr>
      <w:r>
        <w:rPr>
          <w:rFonts w:ascii="Aptos" w:cs="Aptos" w:eastAsia="Aptos" w:hAnsi="Aptos"/>
          <w:b/>
          <w:bCs/>
          <w:color w:val="1B3A5C"/>
          <w:sz w:val="26"/>
          <w:szCs w:val="26"/>
        </w:rPr>
        <w:t xml:space="preserve">8.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 xml:space="preserve">[The Director] may grant a written exception where a system cannot meet a requirement, stating the compensating measure, who approved it, and an expiry date, reviewed at least annually.</w:t>
      </w:r>
    </w:p>
    <w:p>
      <w:pPr>
        <w:pStyle w:val="Heading2"/>
        <w:spacing w:after="100" w:before="220"/>
      </w:pPr>
      <w:r>
        <w:rPr>
          <w:rFonts w:ascii="Aptos" w:cs="Aptos" w:eastAsia="Aptos" w:hAnsi="Aptos"/>
          <w:b/>
          <w:bCs/>
          <w:color w:val="1B3A5C"/>
          <w:sz w:val="26"/>
          <w:szCs w:val="26"/>
        </w:rPr>
        <w:t xml:space="preserve">9.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 xml:space="preserve">This policy is reviewed at least annually and after any significant change to Agency systems or applicable law,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Adopt as written. Turn on built-in logging for the call-handling system, CAD, and the firewall, and keep logs for the minimum period the vendor supports. The director or county IT reviews logs on a set monthly date and after any incident. A SIEM is not required; manual review is enough at this size.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centralizes logs from the main systems and a named reviewer checks them weekly. Add a basic log-collection tool as volume grows.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Logs from all in-scope systems feed a central monitoring system. A security analyst reviews and tunes detections, and log integrity is verified automatically.</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b w:val="false"/>
          <w:bCs w:val="false"/>
          <w:i w:val="false"/>
          <w:iCs w:val="false"/>
          <w:sz w:val="24"/>
          <w:szCs w:val="24"/>
        </w:rPr>
        <w:t xml:space="preserve">CJIS Handling: For systems carrying CJIS-regulated data, reached in Indiana through IDACS, apply CJIS Security Policy v5.9 §5.4 (Auditing and Accountability) in addition to the requirements above. Where IDACS is in scope, 240 IAC 5 applies alongside.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r>
              <w:rPr>
                <w:rFonts w:ascii="Aptos" w:cs="Aptos" w:eastAsia="Aptos" w:hAnsi="Aptos"/>
                <w:sz w:val="24"/>
                <w:szCs w:val="24"/>
              </w:rPr>
              <w:t xml:space="preserve">NENA-STA-040.2-2024: §5.6, §5.6.1, §5.6.2, §5.6.3</w:t>
            </w:r>
          </w:p>
          <w:p>
            <w:r>
              <w:rPr>
                <w:rFonts w:ascii="Aptos" w:cs="Aptos" w:eastAsia="Aptos" w:hAnsi="Aptos"/>
                <w:sz w:val="24"/>
                <w:szCs w:val="24"/>
              </w:rPr>
              <w:t xml:space="preserve">NIST SP 800-53 Rev. 5: AU-2, AU-3, AU-6, AU-9, AU-11, AU-12</w:t>
            </w:r>
          </w:p>
          <w:p>
            <w:r>
              <w:rPr>
                <w:rFonts w:ascii="Aptos" w:cs="Aptos" w:eastAsia="Aptos" w:hAnsi="Aptos"/>
                <w:sz w:val="24"/>
                <w:szCs w:val="24"/>
              </w:rPr>
              <w:t xml:space="preserve">CJIS Security Policy v5.9: §5.4 (Auditing and Accountability;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(internal, delete before publishing)</w:t>
            </w:r>
          </w:p>
          <w:p>
            <w:r>
              <w:rPr>
                <w:rFonts w:ascii="Aptos" w:cs="Aptos" w:eastAsia="Aptos" w:hAnsi="Aptos"/>
                <w:sz w:val="24"/>
                <w:szCs w:val="24"/>
              </w:rPr>
              <w:t xml:space="preserve">Confirm the in-scope systems and criticality tiers from the Master Asset Inventory and Asset Criticality Ranking Matrix (Section 4).</w:t>
            </w:r>
          </w:p>
          <w:p>
            <w:r>
              <w:rPr>
                <w:rFonts w:ascii="Aptos" w:cs="Aptos" w:eastAsia="Aptos" w:hAnsi="Aptos"/>
                <w:sz w:val="24"/>
                <w:szCs w:val="24"/>
              </w:rPr>
              <w:t xml:space="preserve">Confirm minimum retention periods per log source with the Log Retention Schedule.</w:t>
            </w:r>
          </w:p>
          <w:p>
            <w:r>
              <w:rPr>
                <w:rFonts w:ascii="Aptos" w:cs="Aptos" w:eastAsia="Aptos" w:hAnsi="Aptos"/>
                <w:sz w:val="24"/>
                <w:szCs w:val="24"/>
              </w:rPr>
              <w:t xml:space="preserve">Confirm which role performs log review and analysis (Section 6).</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Logging Policy - FORM</dc:title>
</cp:coreProperties>
</file>

<file path=docProps/custom.xml><?xml version="1.0" encoding="utf-8"?>
<Properties xmlns="http://schemas.openxmlformats.org/officeDocument/2006/custom-properties" xmlns:vt="http://schemas.openxmlformats.org/officeDocument/2006/docPropsVTypes"/>
</file>