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Cybersecurity Training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t>
            </w:r>
            <w:r>
              <w:rPr>
                <w:rFonts w:ascii="Aptos" w:cs="Aptos" w:eastAsia="Aptos" w:hAnsi="Aptos"/>
                <w:b/>
                <w:bCs/>
                <w:sz w:val="24"/>
                <w:szCs w:val="24"/>
              </w:rPr>
              <w:t xml:space="preserve">[Agency Name]</w:t>
            </w:r>
            <w:r>
              <w:rPr>
                <w:rFonts w:ascii="Aptos" w:cs="Aptos" w:eastAsia="Aptos" w:hAnsi="Aptos"/>
                <w:sz w:val="24"/>
                <w:szCs w:val="24"/>
              </w:rPr>
              <w:t xml:space="preserve"> under the authority of </w:t>
            </w:r>
            <w:r>
              <w:rPr>
                <w:rFonts w:ascii="Aptos" w:cs="Aptos" w:eastAsia="Aptos" w:hAnsi="Aptos"/>
                <w:b/>
                <w:bCs/>
                <w:sz w:val="24"/>
                <w:szCs w:val="24"/>
              </w:rPr>
              <w:t xml:space="preserve">[signing official / title]</w:t>
            </w:r>
            <w:r>
              <w:rPr>
                <w:rFonts w:ascii="Aptos" w:cs="Aptos" w:eastAsia="Aptos" w:hAnsi="Aptos"/>
                <w:sz w:val="24"/>
                <w:szCs w:val="24"/>
              </w:rPr>
              <w:t xml:space="preser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    </w:t>
            </w:r>
            <w:r>
              <w:rPr>
                <w:rFonts w:ascii="Aptos" w:cs="Aptos" w:eastAsia="Aptos" w:hAnsi="Aptos"/>
                <w:b/>
                <w:bCs/>
                <w:sz w:val="24"/>
                <w:szCs w:val="24"/>
              </w:rPr>
              <w:t xml:space="preserve">Effective Date: </w:t>
            </w:r>
            <w:r>
              <w:rPr>
                <w:rFonts w:ascii="Aptos" w:cs="Aptos" w:eastAsia="Aptos" w:hAnsi="Aptos"/>
                <w:sz w:val="24"/>
                <w:szCs w:val="24"/>
              </w:rPr>
              <w:t xml:space="preserve">[Date]    </w:t>
            </w:r>
            <w:r>
              <w:rPr>
                <w:rFonts w:ascii="Aptos" w:cs="Aptos" w:eastAsia="Aptos" w:hAnsi="Aptos"/>
                <w:b/>
                <w:bCs/>
                <w:sz w:val="24"/>
                <w:szCs w:val="24"/>
              </w:rPr>
              <w:t xml:space="preserve">Next Review: </w:t>
            </w:r>
            <w:r>
              <w:rPr>
                <w:rFonts w:ascii="Aptos" w:cs="Aptos" w:eastAsia="Aptos" w:hAnsi="Aptos"/>
                <w:sz w:val="24"/>
                <w:szCs w:val="24"/>
              </w:rPr>
              <w:t xml:space="preserve">[Date]</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[Role title]   </w:t>
            </w:r>
            <w:r>
              <w:rPr>
                <w:rFonts w:ascii="Aptos" w:cs="Aptos" w:eastAsia="Aptos" w:hAnsi="Aptos"/>
                <w:i/>
                <w:iCs/>
                <w:color w:val="595959"/>
                <w:sz w:val="24"/>
                <w:szCs w:val="24"/>
              </w:rPr>
              <w:t xml:space="preserve">«use a role, not a person’s name.»</w:t>
            </w:r>
          </w:p>
          <w:p>
            <w:pPr>
              <w:spacing w:after="60"/>
            </w:pPr>
            <w:r>
              <w:rPr>
                <w:rFonts w:ascii="Aptos" w:cs="Aptos" w:eastAsia="Aptos" w:hAnsi="Aptos"/>
                <w:b/>
                <w:bCs/>
                <w:sz w:val="24"/>
                <w:szCs w:val="24"/>
              </w:rPr>
              <w:t xml:space="preserve">Classification: </w:t>
            </w:r>
            <w:r>
              <w:rPr>
                <w:rFonts w:ascii="Aptos" w:cs="Aptos" w:eastAsia="Aptos" w:hAnsi="Aptos"/>
                <w:sz w:val="24"/>
                <w:szCs w:val="24"/>
              </w:rPr>
              <w:t xml:space="preserve">Internal</w:t>
            </w:r>
          </w:p>
          <w:p>
            <w:pPr>
              <w:spacing w:after="0"/>
            </w:pPr>
            <w:r>
              <w:rPr>
                <w:rFonts w:ascii="Aptos" w:cs="Aptos" w:eastAsia="Aptos" w:hAnsi="Aptos"/>
                <w:i/>
                <w:iCs/>
                <w:color w:val="595959"/>
                <w:sz w:val="24"/>
                <w:szCs w:val="24"/>
              </w:rPr>
              <w:t xml:space="preserve">«Minimum for this plan is Internal: a training plan’s disclosure does not materially aid an attacker (CLAUDE.md §10 lists training plans as Internal), so it sits below the Plan type’s usual Restricted floor. Use a role, not a person’s name. Your agency may raise but not lower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How to use this template </w:t>
            </w:r>
            <w:r>
              <w:rPr>
                <w:rFonts w:ascii="Aptos" w:cs="Aptos" w:eastAsia="Aptos" w:hAnsi="Aptos"/>
                <w:color w:val="595959"/>
                <w:sz w:val="24"/>
                <w:szCs w:val="24"/>
              </w:rPr>
              <w:t xml:space="preserve">(delete this box before publishing)</w:t>
            </w:r>
          </w:p>
          <w:p>
            <w:pPr>
              <w:spacing w:after="120"/>
            </w:pPr>
            <w:r>
              <w:rPr>
                <w:rFonts w:ascii="Aptos" w:cs="Aptos" w:eastAsia="Aptos" w:hAnsi="Aptos"/>
                <w:i/>
                <w:iCs/>
                <w:color w:val="595959"/>
                <w:sz w:val="24"/>
                <w:szCs w:val="24"/>
              </w:rPr>
              <w:t xml:space="preserve">This plan sets what cybersecurity training the Agency delivers, to whom, how often, and how completion is tracked against leadership targets. Replace every [BRACKETED] field, follow the « » guidance, and delete every « » note and this box before you publish.</w:t>
            </w:r>
          </w:p>
          <w:p>
            <w:pPr>
              <w:spacing w:after="60"/>
            </w:pPr>
            <w:r>
              <w:rPr>
                <w:rFonts w:ascii="Aptos" w:cs="Aptos" w:eastAsia="Aptos" w:hAnsi="Aptos"/>
                <w:b/>
                <w:bCs/>
                <w:sz w:val="24"/>
                <w:szCs w:val="24"/>
              </w:rPr>
              <w:t xml:space="preserve">Placeholder key: </w:t>
            </w:r>
            <w:r>
              <w:rPr>
                <w:rFonts w:ascii="Aptos" w:cs="Aptos" w:eastAsia="Aptos" w:hAnsi="Aptos"/>
                <w:sz w:val="24"/>
                <w:szCs w:val="24"/>
              </w:rPr>
              <w:t xml:space="preserve">[BRACKETED] = fill in · </w:t>
            </w:r>
            <w:r>
              <w:rPr>
                <w:rFonts w:ascii="Aptos" w:cs="Aptos" w:eastAsia="Aptos" w:hAnsi="Aptos"/>
                <w:b/>
                <w:bCs/>
                <w:sz w:val="24"/>
                <w:szCs w:val="24"/>
              </w:rPr>
              <w:t xml:space="preserve">[REQUIRED]</w:t>
            </w:r>
            <w:r>
              <w:rPr>
                <w:rFonts w:ascii="Aptos" w:cs="Aptos" w:eastAsia="Aptos" w:hAnsi="Aptos"/>
                <w:sz w:val="24"/>
                <w:szCs w:val="24"/>
              </w:rPr>
              <w:t xml:space="preserve"> (bold) = required field · </w:t>
            </w:r>
            <w:r>
              <w:rPr>
                <w:rFonts w:ascii="Aptos" w:cs="Aptos" w:eastAsia="Aptos" w:hAnsi="Aptos"/>
                <w:i/>
                <w:iCs/>
                <w:sz w:val="24"/>
                <w:szCs w:val="24"/>
              </w:rPr>
              <w:t xml:space="preserve">« »</w:t>
            </w:r>
            <w:r>
              <w:rPr>
                <w:rFonts w:ascii="Aptos" w:cs="Aptos" w:eastAsia="Aptos" w:hAnsi="Aptos"/>
                <w:sz w:val="24"/>
                <w:szCs w:val="24"/>
              </w:rPr>
              <w:t xml:space="preserve"> = guidance to delete.</w:t>
            </w:r>
          </w:p>
          <w:p>
            <w:pPr>
              <w:spacing w:after="0"/>
            </w:pPr>
            <w:r>
              <w:rPr>
                <w:rFonts w:ascii="Aptos" w:cs="Aptos" w:eastAsia="Aptos" w:hAnsi="Aptos"/>
                <w:i/>
                <w:iCs/>
                <w:color w:val="595959"/>
                <w:sz w:val="24"/>
                <w:szCs w:val="24"/>
              </w:rPr>
              <w:t xml:space="preserve">This is a program plan, not an incident plan. Course content lives in the Role-Specific Training Materials and completion evidence in the Training Completion Records. Reference them; do not restate them.</w:t>
            </w:r>
          </w:p>
        </w:tc>
      </w:tr>
    </w:tbl>
    <w:p>
      <w:pPr>
        <w:pStyle w:val="Heading2"/>
      </w:pPr>
      <w:r>
        <w:t xml:space="preserve">1. Purpose &amp; Scope</w:t>
      </w:r>
    </w:p>
    <w:p>
      <w:pPr>
        <w:spacing w:after="120"/>
      </w:pPr>
      <w:r>
        <w:rPr>
          <w:rFonts w:ascii="Aptos" w:cs="Aptos" w:eastAsia="Aptos" w:hAnsi="Aptos"/>
          <w:i/>
          <w:iCs/>
          <w:color w:val="595959"/>
          <w:sz w:val="24"/>
          <w:szCs w:val="24"/>
        </w:rPr>
        <w:t xml:space="preserve">«What this plan does, when it applies, and its boundaries. One or two sentences each.»</w:t>
      </w:r>
    </w:p>
    <w:p>
      <w:pPr>
        <w:spacing w:after="120"/>
      </w:pPr>
      <w:r>
        <w:rPr>
          <w:rFonts w:ascii="Aptos" w:cs="Aptos" w:eastAsia="Aptos" w:hAnsi="Aptos"/>
          <w:b/>
          <w:bCs/>
          <w:sz w:val="24"/>
          <w:szCs w:val="24"/>
        </w:rPr>
        <w:t xml:space="preserve">Purpose: </w:t>
      </w:r>
      <w:r>
        <w:rPr>
          <w:rFonts w:ascii="Aptos" w:cs="Aptos" w:eastAsia="Aptos" w:hAnsi="Aptos"/>
          <w:sz w:val="24"/>
          <w:szCs w:val="24"/>
        </w:rPr>
        <w:t xml:space="preserve">This plan establishes the Agency’s cybersecurity training program: the topics every workforce member learns, the role-based training each group receives, and how the Agency tracks completion against leadership-set targets.</w:t>
      </w:r>
    </w:p>
    <w:p>
      <w:pPr>
        <w:spacing w:after="120"/>
      </w:pPr>
      <w:r>
        <w:rPr>
          <w:rFonts w:ascii="Aptos" w:cs="Aptos" w:eastAsia="Aptos" w:hAnsi="Aptos"/>
          <w:b/>
          <w:bCs/>
          <w:sz w:val="24"/>
          <w:szCs w:val="24"/>
        </w:rPr>
        <w:t xml:space="preserve">Scope: </w:t>
      </w:r>
      <w:r>
        <w:rPr>
          <w:rFonts w:ascii="Aptos" w:cs="Aptos" w:eastAsia="Aptos" w:hAnsi="Aptos"/>
          <w:sz w:val="24"/>
          <w:szCs w:val="24"/>
        </w:rPr>
        <w:t xml:space="preserve">Applies to all Agency personnel, including dispatchers and call-takers, IT staff, administrative staff, and leadership, and to contractors and vendor personnel where their access requires it.</w:t>
      </w:r>
    </w:p>
    <w:p>
      <w:pPr>
        <w:pStyle w:val="Heading2"/>
      </w:pPr>
      <w:r>
        <w:t xml:space="preserve">2. Definitions</w:t>
      </w:r>
    </w:p>
    <w:p>
      <w:pPr>
        <w:spacing w:after="120"/>
      </w:pPr>
      <w:r>
        <w:rPr>
          <w:rFonts w:ascii="Aptos" w:cs="Aptos" w:eastAsia="Aptos" w:hAnsi="Aptos"/>
          <w:i/>
          <w:iCs/>
          <w:color w:val="595959"/>
          <w:sz w:val="24"/>
          <w:szCs w:val="24"/>
        </w:rPr>
        <w:t xml:space="preserve">«Optional. Define only terms used with a narrower meaning than common usage. Delete if not needed.»</w:t>
      </w:r>
    </w:p>
    <w:p>
      <w:pPr>
        <w:spacing w:after="120"/>
      </w:pPr>
      <w:r>
        <w:rPr>
          <w:rFonts w:ascii="Aptos" w:cs="Aptos" w:eastAsia="Aptos" w:hAnsi="Aptos"/>
          <w:b/>
          <w:bCs/>
          <w:sz w:val="24"/>
          <w:szCs w:val="24"/>
        </w:rPr>
        <w:t xml:space="preserve">Role-based training: </w:t>
      </w:r>
      <w:r>
        <w:rPr>
          <w:rFonts w:ascii="Aptos" w:cs="Aptos" w:eastAsia="Aptos" w:hAnsi="Aptos"/>
          <w:sz w:val="24"/>
          <w:szCs w:val="24"/>
        </w:rPr>
        <w:t xml:space="preserve">training assigned by job function (for example dispatcher, IT administrator, administrative staff), beyond the baseline awareness training every member receives.</w:t>
      </w:r>
    </w:p>
    <w:p>
      <w:pPr>
        <w:pStyle w:val="Heading2"/>
      </w:pPr>
      <w:r>
        <w:t xml:space="preserve">3. Roles &amp; Responsibilities</w:t>
      </w:r>
    </w:p>
    <w:p>
      <w:pPr>
        <w:spacing w:after="120"/>
      </w:pPr>
      <w:r>
        <w:rPr>
          <w:rFonts w:ascii="Aptos" w:cs="Aptos" w:eastAsia="Aptos" w:hAnsi="Aptos"/>
          <w:i/>
          <w:iCs/>
          <w:color w:val="595959"/>
          <w:sz w:val="24"/>
          <w:szCs w:val="24"/>
        </w:rPr>
        <w:t xml:space="preserve">«Each role with a duty under this plan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Owns the plan; sets completion targets; reviews program status.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[Training / security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Assigns role-based courses, schedules delivery, tracks completion, and escalates overdue training.</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Delivers or provisions technical training and the phishing-simulation tooling.</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[Supervisors]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Ensure their staff complete assigned training on time.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Complete assigned training by the due date and apply it on the job.</w:t>
            </w:r>
          </w:p>
        </w:tc>
      </w:tr>
    </w:tbl>
    <w:p>
      <w:pPr>
        <w:pStyle w:val="Heading2"/>
      </w:pPr>
      <w:r>
        <w:t xml:space="preserve">4. Audience and Role-Based Assignment</w:t>
      </w:r>
    </w:p>
    <w:p>
      <w:pPr>
        <w:spacing w:after="120"/>
      </w:pPr>
      <w:r>
        <w:rPr>
          <w:rFonts w:ascii="Aptos" w:cs="Aptos" w:eastAsia="Aptos" w:hAnsi="Aptos"/>
          <w:i/>
          <w:iCs/>
          <w:color w:val="595959"/>
          <w:sz w:val="24"/>
          <w:szCs w:val="24"/>
        </w:rPr>
        <w:t xml:space="preserve">«Map each audience to the training it must complete and how often. This replaces a response plan’s activation criteria: training is assigned and scheduled, not triggered.»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cantSplit/>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Audience</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Required training</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Frequency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All personnel</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Security-awareness baseline: phishing, data handling, password hygiene, incident reporting, and physical-security behavior (badges, tailgating)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At onboarding, then at least annually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Dispatchers / call-takers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Baseline, plus handling of caller and CJIS-regulated data and incident reporting during a 9-1-1 event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At onboarding, then annually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 technical staff</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Baseline, plus secure configuration, access management, and logging and monitoring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At onboarding, then annually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Personnel with IDACS / CJIS access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CJIS Security Awareness Training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 assignment, then every two years (per CJIS)</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Administrative staff</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Baseline, plus records handling and acceptable use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At onboarding, then annually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Leadership</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Baseline, plus governance and reporting duties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At onboarding, then annually</w:t>
            </w:r>
          </w:p>
        </w:tc>
      </w:tr>
    </w:tbl>
    <w:p>
      <w:pPr>
        <w:pStyle w:val="Heading2"/>
      </w:pPr>
      <w:r>
        <w:t xml:space="preserve">5. Curriculum and Delivery</w:t>
      </w:r>
    </w:p>
    <w:p>
      <w:pPr>
        <w:spacing w:after="120"/>
      </w:pPr>
      <w:r>
        <w:rPr>
          <w:rFonts w:ascii="Aptos" w:cs="Aptos" w:eastAsia="Aptos" w:hAnsi="Aptos"/>
          <w:i/>
          <w:iCs/>
          <w:color w:val="595959"/>
          <w:sz w:val="24"/>
          <w:szCs w:val="24"/>
        </w:rPr>
        <w:t xml:space="preserve">«The core of the plan: the topics taught and how they are delivered. This replaces a response plan’s step-by-step procedures.»</w:t>
      </w:r>
    </w:p>
    <w:p>
      <w:pPr>
        <w:spacing w:after="120"/>
      </w:pPr>
      <w:r>
        <w:rPr>
          <w:rFonts w:ascii="Aptos" w:cs="Aptos" w:eastAsia="Aptos" w:hAnsi="Aptos"/>
          <w:sz w:val="24"/>
          <w:szCs w:val="24"/>
        </w:rPr>
        <w:t xml:space="preserve">Core topics for all personnel: phishing and social engineering, proper data handling and classification, password and authentication hygiene, how and when to report suspicious activity or data loss, and physical-security behavior. Role-based topics are assigned per the table above.</w:t>
      </w:r>
    </w:p>
    <w:p>
      <w:pPr>
        <w:spacing w:after="120"/>
      </w:pPr>
      <w:r>
        <w:rPr>
          <w:rFonts w:ascii="Aptos" w:cs="Aptos" w:eastAsia="Aptos" w:hAnsi="Aptos"/>
          <w:b/>
          <w:bCs/>
          <w:sz w:val="24"/>
          <w:szCs w:val="24"/>
        </w:rPr>
        <w:t xml:space="preserve">Delivery: </w:t>
      </w:r>
      <w:r>
        <w:rPr>
          <w:rFonts w:ascii="Aptos" w:cs="Aptos" w:eastAsia="Aptos" w:hAnsi="Aptos"/>
          <w:sz w:val="24"/>
          <w:szCs w:val="24"/>
        </w:rPr>
        <w:t xml:space="preserve">[methods, for example short online modules, briefings at shift change, tabletop participation, and phishing simulations]. Indiana telecommunicator training requirements, including required IDACS and NCIC coursework, are met through [the Agency’s telecommunicator training program] and tracked alongside this plan.</w:t>
      </w:r>
    </w:p>
    <w:p>
      <w:pPr>
        <w:pStyle w:val="Heading2"/>
      </w:pPr>
      <w:r>
        <w:t xml:space="preserve">6. Completion Tracking and Reporting</w:t>
      </w:r>
    </w:p>
    <w:p>
      <w:pPr>
        <w:spacing w:after="120"/>
      </w:pPr>
      <w:r>
        <w:rPr>
          <w:rFonts w:ascii="Aptos" w:cs="Aptos" w:eastAsia="Aptos" w:hAnsi="Aptos"/>
          <w:i/>
          <w:iCs/>
          <w:color w:val="595959"/>
          <w:sz w:val="24"/>
          <w:szCs w:val="24"/>
        </w:rPr>
        <w:t xml:space="preserve">«How completion is recorded and reported to leadership against targets. This replaces a response plan’s communication procedures.»</w:t>
      </w:r>
    </w:p>
    <w:p>
      <w:pPr>
        <w:spacing w:after="120"/>
      </w:pPr>
      <w:r>
        <w:rPr>
          <w:rFonts w:ascii="Aptos" w:cs="Aptos" w:eastAsia="Aptos" w:hAnsi="Aptos"/>
          <w:sz w:val="24"/>
          <w:szCs w:val="24"/>
        </w:rPr>
        <w:t xml:space="preserve">Completion is recorded for every assigned course in the Training Completion Records. The [training / security coordinator] tracks completion against the targets leadership sets, follows up on overdue training, and reports completion rates to the [Director / Coordinator] at least [quarterly].</w:t>
      </w:r>
    </w:p>
    <w:p>
      <w:pPr>
        <w:spacing w:after="120"/>
      </w:pPr>
      <w:r>
        <w:rPr>
          <w:rFonts w:ascii="Aptos" w:cs="Aptos" w:eastAsia="Aptos" w:hAnsi="Aptos"/>
          <w:b/>
          <w:bCs/>
          <w:sz w:val="24"/>
          <w:szCs w:val="24"/>
        </w:rPr>
        <w:t xml:space="preserve">Targets: </w:t>
      </w:r>
      <w:r>
        <w:rPr>
          <w:rFonts w:ascii="Aptos" w:cs="Aptos" w:eastAsia="Aptos" w:hAnsi="Aptos"/>
          <w:sz w:val="24"/>
          <w:szCs w:val="24"/>
        </w:rPr>
        <w:t xml:space="preserve">[for example, all staff complete annual awareness training; new hires complete the baseline before system access is granted].</w:t>
      </w:r>
    </w:p>
    <w:p>
      <w:pPr>
        <w:pStyle w:val="Heading2"/>
      </w:pPr>
      <w:r>
        <w:t xml:space="preserve">7. Review and Refresh</w:t>
      </w:r>
    </w:p>
    <w:p>
      <w:pPr>
        <w:spacing w:after="120"/>
      </w:pPr>
      <w:r>
        <w:rPr>
          <w:rFonts w:ascii="Aptos" w:cs="Aptos" w:eastAsia="Aptos" w:hAnsi="Aptos"/>
          <w:i/>
          <w:iCs/>
          <w:color w:val="595959"/>
          <w:sz w:val="24"/>
          <w:szCs w:val="24"/>
        </w:rPr>
        <w:t xml:space="preserve">«How often the plan and materials are reviewed, and how effectiveness is measured. This replaces a response plan’s testing requirements.»</w:t>
      </w:r>
    </w:p>
    <w:p>
      <w:pPr>
        <w:spacing w:after="120"/>
      </w:pPr>
      <w:r>
        <w:rPr>
          <w:rFonts w:ascii="Aptos" w:cs="Aptos" w:eastAsia="Aptos" w:hAnsi="Aptos"/>
          <w:sz w:val="24"/>
          <w:szCs w:val="24"/>
        </w:rPr>
        <w:t xml:space="preserve">This plan and its materials are reviewed at least annually and refreshed when new threats or technologies change what staff need to know. Effectiveness is measured through phishing-simulation results, competency assessments, and completion rates, and the results shape the next revision.</w:t>
      </w:r>
    </w:p>
    <w:p>
      <w:pPr>
        <w:pStyle w:val="Heading2"/>
      </w:pPr>
      <w:r>
        <w:t xml:space="preserve">Profile Scaling Notes</w:t>
      </w:r>
    </w:p>
    <w:p>
      <w:pPr>
        <w:spacing w:after="120"/>
      </w:pPr>
      <w:r>
        <w:rPr>
          <w:rFonts w:ascii="Aptos" w:cs="Aptos" w:eastAsia="Aptos" w:hAnsi="Aptos"/>
          <w:i/>
          <w:iCs/>
          <w:color w:val="595959"/>
          <w:sz w:val="24"/>
          <w:szCs w:val="24"/>
        </w:rPr>
        <w:t xml:space="preserve">One short paragraph per profile: what minimum-viable looks like for that reader and where to scale up. Keep all three while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Small (1–5 dispatchers, no in-house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One annual awareness course for everyone, delivered online or in a briefing, plus a short phishing refresher. The director tracks completion on a simple roster and confirms new hires finish baseline training before getting system access.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Medium (6–25, shared county IT)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The security coordinator assigns role-based courses through shared county IT’s tools, runs periodic phishing simulations, and reports completion to leadership quarterly.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Large (25+, dedicated IT/security)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 learning-management system enrolls staff by role automatically, schedules recurring training, runs regular phishing campaigns, and dashboards completion and competency for leadership.</w:t>
            </w:r>
          </w:p>
        </w:tc>
      </w:tr>
    </w:tbl>
    <w:p>
      <w:pPr>
        <w:pStyle w:val="Heading2"/>
      </w:pPr>
      <w:r>
        <w:t xml:space="preserve">CJIS / Indiana Overlay Note</w:t>
      </w:r>
    </w:p>
    <w:p>
      <w:pPr>
        <w:spacing w:after="120"/>
      </w:pPr>
      <w:r>
        <w:rPr>
          <w:rFonts w:ascii="Aptos" w:cs="Aptos" w:eastAsia="Aptos" w:hAnsi="Aptos"/>
          <w:i/>
          <w:iCs/>
          <w:color w:val="595959"/>
          <w:sz w:val="24"/>
          <w:szCs w:val="24"/>
        </w:rPr>
        <w:t xml:space="preserve">«Note here where this plan touches CJIS training or an Indiana training statute. Carry the citations into Source Authority. Delete if not applicable.»</w:t>
      </w:r>
    </w:p>
    <w:p>
      <w:pPr>
        <w:spacing w:after="120"/>
      </w:pPr>
      <w:r>
        <w:rPr>
          <w:rFonts w:ascii="Aptos" w:cs="Aptos" w:eastAsia="Aptos" w:hAnsi="Aptos"/>
          <w:sz w:val="24"/>
          <w:szCs w:val="24"/>
        </w:rPr>
        <w:t xml:space="preserve">This plan’s role-based assignments include CJIS Security Awareness Training for personnel with access to CJIS-regulated data (in Indiana, via IDACS), and the Indiana telecommunicator training requirements under IC 36-8-16.8, including required IDACS and NCIC coursework. Completion evidence is held in the Training Completion Records and the CJIS Security Awareness Training Completion Record.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§5.1 (Cybersecurity Training); §5.1.1 (Cybersecurity Awareness Training); §5.1.2 (Technician Security Training)</w:t>
            </w:r>
          </w:p>
          <w:p>
            <w:pPr>
              <w:spacing w:after="40"/>
            </w:pPr>
            <w:r>
              <w:rPr>
                <w:rFonts w:ascii="Aptos" w:cs="Aptos" w:eastAsia="Aptos" w:hAnsi="Aptos"/>
                <w:sz w:val="24"/>
                <w:szCs w:val="24"/>
              </w:rPr>
              <w:t xml:space="preserve">NIST SP 800-53 Rev. 5: AT-1, AT-2, AT-3, AT-4</w:t>
            </w:r>
          </w:p>
          <w:p>
            <w:pPr>
              <w:spacing w:after="40"/>
            </w:pPr>
            <w:r>
              <w:rPr>
                <w:rFonts w:ascii="Aptos" w:cs="Aptos" w:eastAsia="Aptos" w:hAnsi="Aptos"/>
                <w:sz w:val="24"/>
                <w:szCs w:val="24"/>
              </w:rPr>
              <w:t xml:space="preserve">Indiana statutes and administrative code: IC 36-8-16.7: Statewide 911 (allowable training uses); IC 36-8-16.8: Public Safety Telecommunicator Training; 240 IAC 5: IDACS Security</w:t>
            </w:r>
          </w:p>
          <w:p>
            <w:pPr>
              <w:spacing w:after="0"/>
            </w:pPr>
            <w:r>
              <w:rPr>
                <w:rFonts w:ascii="Aptos" w:cs="Aptos" w:eastAsia="Aptos" w:hAnsi="Aptos"/>
                <w:sz w:val="24"/>
                <w:szCs w:val="24"/>
              </w:rPr>
              <w:t xml:space="preserve">CJIS Security Policy v5.9: §5.2 (Security Awareness Training) (CJIS-regulated data in scope, via IDACS)</w:t>
            </w:r>
          </w:p>
        </w:tc>
      </w:tr>
    </w:tbl>
    <w:p>
      <w:pPr>
        <w:pStyle w:val="Heading2"/>
      </w:pPr>
      <w: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[Approving official / title]</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[Owner role]</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cantSplit/>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[Date]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[Role]</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sz w:val="24"/>
                <w:szCs w:val="24"/>
              </w:rPr>
              <w:t xml:space="preserve">Drafter’s note (internal, delete before publishing)</w:t>
            </w:r>
          </w:p>
          <w:p>
            <w:pPr>
              <w:spacing w:after="0"/>
            </w:pPr>
            <w:r>
              <w:rPr>
                <w:rFonts w:ascii="Aptos" w:cs="Aptos" w:eastAsia="Aptos" w:hAnsi="Aptos"/>
                <w:i/>
                <w:iCs/>
                <w:color w:val="595959"/>
                <w:sz w:val="24"/>
                <w:szCs w:val="24"/>
              </w:rPr>
              <w:t xml:space="preserve">Typed Plan, but the activation-style sections are adapted to a program model: Activation Criteria becomes Audience and Role-Based Assignment, Step-by-Step Procedures becomes Curriculum and Delivery, Communication Procedures becomes Completion Tracking and Reporting, and Testing Requirements becomes Review and Refresh. Classification is Internal, below the Plan type’s usual Restricted floor, per CLAUDE.md §10 (training plans are Internal). Course content lives in the Role-Specific Training Materials and completion in the Training Completion Records; both are referenced, not restated. [Confirm leadership-set completion targets and the Agency’s delivery methods.]</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5"/>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2026-06-01T15:29:11.438Z</dcterms:created>
  <dcterms:modified xsi:type="dcterms:W3CDTF">2026-06-01T15:29:11.438Z</dcterms:modified>
  <dc:title xmlns:dc="http://purl.org/dc/elements/1.1/">Cybersecurity Training Plan - FORM</dc:title>
</cp:coreProperties>
</file>

<file path=docProps/custom.xml><?xml version="1.0" encoding="utf-8"?>
<Properties xmlns="http://schemas.openxmlformats.org/officeDocument/2006/custom-properties" xmlns:vt="http://schemas.openxmlformats.org/officeDocument/2006/docPropsVTypes"/>
</file>