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Social Media &amp; External Communications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policy sets the rules for how personnel use social media and other external communications in ways that could touch the Agency, its operations, or non-public information. It extends the Acceptable Use Policy to public-facing and personal communications, so personal use does not expose the Agency’s information, people, or reputation.</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employees, contractors, and volunteers, on or off duty, when their communications identify or affect the Agency.</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personal and official use of social media, public posts and comments, messaging apps, and personal devices used to communicate about or connect to Agency systems or information.</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official public-information releases issued through the Agency’s designated spokesperson or PIO process, which follow their own approval path.</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60"/>
      </w:pPr>
      <w:r>
        <w:rPr>
          <w:rFonts w:ascii="Aptos" w:cs="Aptos" w:eastAsia="Aptos" w:hAnsi="Aptos"/>
          <w:b/>
          <w:bCs/>
          <w:sz w:val="24"/>
          <w:szCs w:val="24"/>
        </w:rPr>
        <w:t xml:space="preserve">Non-public information: </w:t>
      </w:r>
      <w:r>
        <w:rPr>
          <w:rFonts w:ascii="Aptos" w:cs="Aptos" w:eastAsia="Aptos" w:hAnsi="Aptos"/>
          <w:b w:val="false"/>
          <w:bCs w:val="false"/>
          <w:i w:val="false"/>
          <w:iCs w:val="false"/>
          <w:sz w:val="24"/>
          <w:szCs w:val="24"/>
        </w:rPr>
        <w:t xml:space="preserve">Agency information not approved for public release, including operational detail, CAD or incident data, personnel information, and anything classified Internal, Restricted, or Confidential.</w:t>
      </w:r>
    </w:p>
    <w:p>
      <w:pPr>
        <w:spacing w:after="60"/>
      </w:pPr>
      <w:r>
        <w:rPr>
          <w:rFonts w:ascii="Aptos" w:cs="Aptos" w:eastAsia="Aptos" w:hAnsi="Aptos"/>
          <w:b/>
          <w:bCs/>
          <w:sz w:val="24"/>
          <w:szCs w:val="24"/>
        </w:rPr>
        <w:t xml:space="preserve">Official account: </w:t>
      </w:r>
      <w:r>
        <w:rPr>
          <w:rFonts w:ascii="Aptos" w:cs="Aptos" w:eastAsia="Aptos" w:hAnsi="Aptos"/>
          <w:b w:val="false"/>
          <w:bCs w:val="false"/>
          <w:i w:val="false"/>
          <w:iCs w:val="false"/>
          <w:sz w:val="24"/>
          <w:szCs w:val="24"/>
        </w:rPr>
        <w:t xml:space="preserve">a social-media or communications account the Agency owns and operates in its own name.</w:t>
      </w:r>
    </w:p>
    <w:p>
      <w:pPr>
        <w:spacing w:after="60"/>
      </w:pPr>
      <w:r>
        <w:rPr>
          <w:rFonts w:ascii="Aptos" w:cs="Aptos" w:eastAsia="Aptos" w:hAnsi="Aptos"/>
          <w:b/>
          <w:bCs/>
          <w:sz w:val="24"/>
          <w:szCs w:val="24"/>
        </w:rPr>
        <w:t xml:space="preserve">Personal account: </w:t>
      </w:r>
      <w:r>
        <w:rPr>
          <w:rFonts w:ascii="Aptos" w:cs="Aptos" w:eastAsia="Aptos" w:hAnsi="Aptos"/>
          <w:b w:val="false"/>
          <w:bCs w:val="false"/>
          <w:i w:val="false"/>
          <w:iCs w:val="false"/>
          <w:sz w:val="24"/>
          <w:szCs w:val="24"/>
        </w:rPr>
        <w:t xml:space="preserve">any account an individual holds in a personal capacity, even if it mentions or is associated with the Agency.</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post non-public Agency information to any social media or external channel, in any form, including photos, screenshots, locations, or details of calls and operations.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keep personal and Agency roles separate. A personal account does not speak for the Agency, and personnel make clear that personal views are their own.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represent the Agency or issue statements on its behalf unless authorized through the Agency’s public-information process.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Personal devices used to access or communicate about Agency systems or information follow the Acceptable Use Policy, the Mobile Device Management (MDM) Policy, and the Remote Access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connect personal devices to restricted Agency networks except as those policies allow.</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report any accidental disclosure of non-public information, and any online impersonation of or threat against the Agency or its staff, through the incident-reporting process.</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approves official accounts and spokespersons, and decides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Advises on technical controls for personal-device and network access, and supports investigation of online disclosures or impersonation.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these rules on shift and is a first point of contact when a posting or disclosure concern arises.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these rules on and off duty, keep personal and Agency roles separate, and report disclosures or impersonation promptly.</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The [Director / Coordinator] monitors compliance. Violations are handled under the Acceptable Use Policy’s corrective process. A post that discloses non-public information or endangers staff or operations is treated as a security incident.</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An exception, such as an approved outreach campaign or a designated account, is requested in writing, granted by the [Director / Coordinator], recorded with a scope and end date, and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sets the rules in plain terms, covers them at hire and in periodic reminders, and approves any official account personally. With no PIO, the director is the Agency’s single voice.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designated coordinator manages official accounts and approves outreach. Reminders go out with other security messaging, and supervisors reinforce the rules on shift.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PIO or communications function owns official channels under this policy, with a documented approval path for posts, monitoring for impersonation, and role-based reminders.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§4.1.2, §4.2.5, §5.1.1</w:t>
            </w:r>
          </w:p>
          <w:p>
            <w:pPr>
              <w:spacing w:after="40" w:before="0"/>
            </w:pPr>
            <w:r>
              <w:rPr>
                <w:rFonts w:ascii="Aptos" w:cs="Aptos" w:eastAsia="Aptos" w:hAnsi="Aptos"/>
                <w:b w:val="false"/>
                <w:bCs w:val="false"/>
                <w:i w:val="false"/>
                <w:iCs w:val="false"/>
                <w:sz w:val="24"/>
                <w:szCs w:val="24"/>
              </w:rPr>
              <w:t xml:space="preserve">NIST SP 800-53 Rev. 5: AC-22, AT-2, PL-4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before finalizing: (1) the [signing official] and [Owner role]; (2) whether official-account approval is routed through a PIO or the director.</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Social Media &amp; External Communications Policy - FORM</dc:title>
</cp:coreProperties>
</file>

<file path=docProps/custom.xml><?xml version="1.0" encoding="utf-8"?>
<Properties xmlns="http://schemas.openxmlformats.org/officeDocument/2006/custom-properties" xmlns:vt="http://schemas.openxmlformats.org/officeDocument/2006/docPropsVTypes"/>
</file>