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Email Authentication Configuration Records (SPF/DKIM/DMARC)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«Set to Internal, below the Configuration Record Restricted default: SPF, DKIM, and DMARC records are published in public DNS and the TLS posture is externally observable, so they reveal no defensive architecture. Your agency may raise but not lower this.»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system this record documents and why. A Configuration Record captures the as-built state; it is evidence of compliance with the governing Standard, not the rule itself.»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record documents the as-built email authentication for the Agency's domains: the SPF, DKIM, and DMARC records and the TLS settings, with the cadence on which they are audited. It implements the Email Security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«Identify the system precisely. Tie the Asset ID back to the Master Asset Inventory.»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[email domain(s) / mail platform]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[production]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[hosted / on-prem]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[ID from Master Asset Inventory]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as-built state. Record settings as they are, not as they should be.»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Current value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[SPF record]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[published value]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[authorized senders]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[DKIM]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[selector(s) and key]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[signing enabled]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[DMARC policy]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[none / quarantine / reject]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[reporting address]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[TLS]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[enforced / opportunistic]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[inbound and outbound]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approved baseline value for each setting and any approved deviation, with who approved it and when.»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value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[setting]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[value]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[Y / N]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[setting]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[value]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[Y / N]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and how often the as-built state is checked against the approved baseline, and who does it. Each change is recorded in the Change History below.»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Audited at least [quarterly] by the [Owner role] against the Email Security Policy; changes to the published records are recorded in the Change History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 as written. For hosted email, publish an SPF record, enable DKIM signing, and set a DMARC policy (start at monitoring, then tighten). Record the values here and check them when the email service or domain changes.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 publishes and maintains SPF, DKIM, and DMARC, moves DMARC toward enforcement, and reviews the reports on a cadence.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SPF, DKIM, and DMARC are enforced with DMARC at reject, TLS required, and the authentication reports monitored; this record is the as-built evidence, reconciled at each review.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NENA-STA-040.2-2024: §5.6.4 (Intrusion Monitoring and Detection)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NIST SP 800-53 Rev. 5: SC-8, SC-23, SI-8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[System owner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[Security reviewer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«This table is the Configuration Record’s required change-history element. Add one row per configuration change.»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Email Authentication Configuration Records for category 4.D. Classification set to Internal, a deliberate step below the Configuration Record Restricted default: SPF, DKIM, and DMARC records are published in public DNS and the TLS posture is externally observable, so they reveal no defensive architecture. Implements the Email Security Policy; email-server hardening is in the Endpoint Hardening Checklist. Cross-referenced by Tracker name: Email Security Policy, Endpoint Hardening Checklist. Confirm the Agency's domains and current DMARC policy level.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Email Authentication Configuration Records (SPF/DKIM/DMARC)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