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Mobile Device Management (MDM)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[Agency Name]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[signing official / title]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 title]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Internal</w:t>
            </w:r>
          </w:p>
          <w:p>
            <w:pPr>
              <w:spacing w:after="0"/>
            </w:pPr>
            <w:r>
              <w:rPr>
                <w:rFonts w:ascii="Aptos" w:hAnsi="Aptos"/>
                <w:color w:val="595959"/>
                <w:sz w:val="24"/>
                <w:i/>
              </w:rPr>
              <w:t xml:space="preserve">«Minimum for this policy: it sets device rules and an enforcement approach, not deployed configuration. Your agency may raise but not lower this.»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B3A5C"/>
                <w:sz w:val="24"/>
              </w:rPr>
              <w:t xml:space="preserve">How to use this template </w:t>
            </w:r>
            <w:r>
              <w:rPr>
                <w:rFonts w:ascii="Aptos" w:hAnsi="Aptos"/>
                <w:b w:val="0"/>
                <w:color w:val="595959"/>
                <w:sz w:val="24"/>
              </w:rPr>
              <w:t>(delete this box before publishing)</w:t>
            </w:r>
          </w:p>
          <w:p>
            <w:pPr>
              <w:spacing w:after="140"/>
            </w:pPr>
            <w:r>
              <w:rPr>
                <w:rFonts w:ascii="Aptos" w:hAnsi="Aptos"/>
                <w:color w:val="595959"/>
                <w:sz w:val="24"/>
              </w:rPr>
              <w:t xml:space="preserve">This policy treats email as a semi-trusted system kept separate from real-time 9-1-1 operations. It sets acceptable use, handling of external mail and attachments, restrictions on mailbox delegation and inbox rules, the inspection expected, and how suspicious email is reported.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sz w:val="24"/>
              </w:rPr>
              <w:t xml:space="preserve">Placeholder key: </w:t>
            </w:r>
            <w:r>
              <w:rPr>
                <w:rFonts w:ascii="Aptos" w:hAnsi="Aptos"/>
                <w:b w:val="0"/>
                <w:sz w:val="24"/>
              </w:rPr>
              <w:t>[BRACKETED]</w:t>
            </w:r>
            <w:r>
              <w:rPr>
                <w:rFonts w:ascii="Aptos" w:hAnsi="Aptos"/>
                <w:b w:val="0"/>
                <w:sz w:val="24"/>
              </w:rPr>
              <w:t xml:space="preserve"> = fill in   ·   </w:t>
            </w:r>
            <w:r>
              <w:rPr>
                <w:rFonts w:ascii="Aptos" w:hAnsi="Aptos"/>
                <w:b/>
                <w:sz w:val="24"/>
              </w:rPr>
              <w:t>[REQUIRED]</w:t>
            </w:r>
            <w:r>
              <w:rPr>
                <w:rFonts w:ascii="Aptos" w:hAnsi="Aptos"/>
                <w:b w:val="0"/>
                <w:sz w:val="24"/>
              </w:rPr>
              <w:t xml:space="preserve"> (bold) = required field   ·   </w:t>
            </w:r>
            <w:r>
              <w:rPr>
                <w:rFonts w:ascii="Aptos" w:hAnsi="Aptos"/>
                <w:b w:val="0"/>
                <w:color w:val="595959"/>
                <w:sz w:val="24"/>
              </w:rPr>
              <w:t>« »</w:t>
            </w:r>
            <w:r>
              <w:rPr>
                <w:rFonts w:ascii="Aptos" w:hAnsi="Aptos"/>
                <w:b w:val="0"/>
                <w:sz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hAnsi="Aptos"/>
                <w:color w:val="595959"/>
                <w:sz w:val="24"/>
              </w:rPr>
              <w:t xml:space="preserve">Acceptable use overlaps the Acceptable Use Policy and email administration overlaps the Role-Based Access Control Documentation; reference them rather than restating. Authentication settings live in the Email Authentication Configuration Records.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«Two or three sentences: what this policy governs and why the Agency maintains it. Name the outcome, not the activity.»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This policy sets the rules for mobile and remote devices that access Agency systems: how they are secured, enrolled, and managed, and who owns them. It reduces the risk that a lost, stolen, or compromised device exposes Agency or CJIS-regulated data.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and what the policy covers, and what it excludes. State exclusions explicitly.»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Applies to: all Agency personnel, contractors, and vendors who use a mobile or remote device to access Agency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Covers: agency-owned, approved personal, and vendor-owned mobile and remote devices, and the enrollment, configuration, and monitoring applied through mobile-device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Excludes: cellular transport requirements, set in the Cellular / Mobile Device Security Standards; remote-connection methods, set in the Remote Access Policy.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«Optional. Include only terms this policy uses with a narrower meaning than common usage. Do not define common operational terms (CAD, RMS, ESInet, dispatcher). Delete this section if not needed.»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Mobile device: a portable computing device such as a phone, tablet, or laptop used to access Agency systems.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Managed device: a device enrolled in the Agency’s mobile-device management and subject to its enforced settings.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enforceable core, as numbered statements. Use “The Agency shall…” / “Personnel are responsible for…”. One requirement per statement.»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1. A mobile or remote device is enrolled in the Agency’s mobile-device management before it is granted access to Agency systems.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2. Managed devices enforce on-device encryption for stored data and encrypted network connections.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3. Access from a mobile or remote device requires strong authentication, using multifactor authentication or device certificates.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4. Managed devices support remote lock and remote wipe; the [Director / Coordinator] authorizes a wipe, which removes Agency data from the device.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5. Controls are in place to prevent Agency or CJIS-regulated data from leaking to unmanaged applications or storage.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6. Device ownership (agency-owned, approved personal, or vendor-owned) is recorded, and personal devices meet the same minimum controls before they connect.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7. Compliance with these rules is checked on a defined cadence, and non-compliant devices are blocked until remediated.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8. Cellular transport and remote-connection requirements are governed in addition by the Cellular / Mobile Device Security Standards and the Remote Access Policy.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Roles &amp; Responsibilities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role that carries a duty under this policy and what it owns. Roles, not names.»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[Director / Coordinator]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Owns this policy; approves device enrollment and authorizes remote wipe.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[IT support (county / vendor / in-house)]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Configures and enforces mobile-device management, checks compliance, and blocks non-compliant devices.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[Dispatch supervisor]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Reports lost or stolen devices promptly.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[All personnel]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Use only enrolled devices, protect them, and report loss or theft at once.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Enforcement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compliance is monitored and what happens on violation. Reference the Agency’s corrective process; do not restate it.»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The [Director / Coordinator] monitors compliance through mobile-device management reporting. Non-compliant or unenrolled devices are blocked, and repeated violations are handled under the Agency’s corrective-action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Exceptions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may grant an exception, how it is requested and recorded, and how long it lasts before review.»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Exceptions require written approval from the [Director / Coordinator], must state the device and any compensating control, and expire after [period] unless renewed.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8. Review Schedule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«Review cadence and trigger events (annual at minimum; also on significant change). Name the owning role.»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This policy is reviewed at least annually and after any significant change to the Agency’s mobile-device technology, by the [Owner role].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Few mobile devices. Use the built-in management in the hosted platform (encryption, screen lock, remote wipe) and require MFA. The director keeps a short list of who has a device.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Shared county IT enrolls devices in mobile-device management, enforces encryption and MFA, and checks compliance on a set cadence.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A full MDM platform enforces encryption, certificates, data-leakage controls, and remote wipe across agency-owned and approved personal devices, with automated compliance reporting.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B3A5C"/>
                <w:sz w:val="24"/>
              </w:rPr>
              <w:t>Source Authority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</w:rPr>
              <w:t xml:space="preserve">NENA-STA-040.2-2024: §5.6.4 (Intrusion Monitoring and Detection)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  <w:i w:val="0"/>
              </w:rPr>
              <w:t xml:space="preserve">NENA-STA-040.2-2024: §6.3.4 (Broadband Cellular); §6.7.1 (Remote Access Device Security); §6.19 (Endpoint Security)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  <w:i w:val="0"/>
              </w:rPr>
              <w:t xml:space="preserve">NIST SP 800-53 Rev. 5: AC-19, IA-2, SC-28, SI-3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[Approving official / title]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[Owner role]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B3A5C"/>
                <w:sz w:val="24"/>
              </w:rPr>
              <w:t xml:space="preserve">Drafter’s note </w:t>
            </w:r>
            <w:r>
              <w:rPr>
                <w:rFonts w:ascii="Aptos" w:hAnsi="Aptos"/>
                <w:b w:val="0"/>
                <w:color w:val="595959"/>
                <w:sz w:val="24"/>
              </w:rPr>
              <w:t>(internal, delete before publishing)</w:t>
            </w:r>
          </w:p>
          <w:p>
            <w:pPr>
              <w:spacing w:after="140"/>
            </w:pPr>
            <w:r>
              <w:rPr>
                <w:rFonts w:ascii="Aptos" w:hAnsi="Aptos"/>
                <w:color w:val="595959"/>
                <w:sz w:val="24"/>
              </w:rPr>
              <w:t xml:space="preserve">Mobile Device Management (MDM) Policy for category 5.D. Internal: sets device rules and enforcement approach; the MDM product name and enrolled-device counts stay out of the policy. Cellular transport requirements live in the Cellular / Mobile Device Security Standards and remote-connection rules in the Remote Access Policy; enrollment and enforcement evidence lives in the Remote Endpoint Security Audit Records. Confirm the Agency’s device-ownership stance, MFA method, and remote-wipe authority.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300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Mobile Device Management (MDM) Policy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