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 xml:space="preserve">Data Sharing &amp; Disclosure Approval Procedure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sz w:val="24"/>
                <w:szCs w:val="24"/>
              </w:rPr>
              <w:t xml:space="preserve">Authority: </w:t>
            </w:r>
            <w:r>
              <w:rPr>
                <w:rFonts w:ascii="Aptos" w:cs="Aptos" w:eastAsia="Aptos" w:hAnsi="Aptos"/>
                <w:b w:val="false"/>
                <w:bCs w:val="false"/>
                <w:i w:val="false"/>
                <w:iCs w:val="false"/>
                <w:sz w:val="24"/>
                <w:szCs w:val="24"/>
              </w:rPr>
              <w:t xml:space="preserve">Adopted by </w:t>
            </w:r>
            <w:r>
              <w:rPr>
                <w:rFonts w:ascii="Aptos" w:cs="Aptos" w:eastAsia="Aptos" w:hAnsi="Aptos"/>
                <w:b/>
                <w:bCs/>
                <w:i w:val="false"/>
                <w:iCs w:val="false"/>
                <w:sz w:val="24"/>
                <w:szCs w:val="24"/>
              </w:rPr>
              <w:t xml:space="preserve">[Agency Name]</w:t>
            </w:r>
            <w:r>
              <w:rPr>
                <w:rFonts w:ascii="Aptos" w:cs="Aptos" w:eastAsia="Aptos" w:hAnsi="Aptos"/>
                <w:b w:val="false"/>
                <w:bCs w:val="false"/>
                <w:i w:val="false"/>
                <w:iCs w:val="false"/>
                <w:sz w:val="24"/>
                <w:szCs w:val="24"/>
              </w:rPr>
              <w:t xml:space="preserve"> under the authority of </w:t>
            </w:r>
            <w:r>
              <w:rPr>
                <w:rFonts w:ascii="Aptos" w:cs="Aptos" w:eastAsia="Aptos" w:hAnsi="Aptos"/>
                <w:b/>
                <w:bCs/>
                <w:i w:val="false"/>
                <w:iCs w:val="false"/>
                <w:sz w:val="24"/>
                <w:szCs w:val="24"/>
              </w:rPr>
              <w:t xml:space="preserve">[signing official / title]</w:t>
            </w:r>
            <w:r>
              <w:rPr>
                <w:rFonts w:ascii="Aptos" w:cs="Aptos" w:eastAsia="Aptos" w:hAnsi="Aptos"/>
                <w:b w:val="false"/>
                <w:bCs w:val="false"/>
                <w:i w:val="false"/>
                <w:iCs w:val="false"/>
                <w:sz w:val="24"/>
                <w:szCs w:val="24"/>
              </w:rPr>
              <w:t xml:space="preserve">.</w:t>
            </w:r>
          </w:p>
          <w:p>
            <w:pPr>
              <w:spacing w:after="60"/>
            </w:pPr>
            <w:r>
              <w:rPr>
                <w:rFonts w:ascii="Aptos" w:cs="Aptos" w:eastAsia="Aptos" w:hAnsi="Aptos"/>
                <w:b/>
                <w:bCs/>
                <w:i w:val="false"/>
                <w:iCs w:val="false"/>
                <w:sz w:val="24"/>
                <w:szCs w:val="24"/>
              </w:rPr>
              <w:t xml:space="preserve">Version: </w:t>
            </w:r>
            <w:r>
              <w:rPr>
                <w:rFonts w:ascii="Aptos" w:cs="Aptos" w:eastAsia="Aptos" w:hAnsi="Aptos"/>
                <w:b w:val="false"/>
                <w:bCs w:val="false"/>
                <w:i w:val="false"/>
                <w:iCs w:val="false"/>
                <w:sz w:val="24"/>
                <w:szCs w:val="24"/>
              </w:rPr>
              <w:t xml:space="preserve">[#]    </w:t>
            </w:r>
            <w:r>
              <w:rPr>
                <w:rFonts w:ascii="Aptos" w:cs="Aptos" w:eastAsia="Aptos" w:hAnsi="Aptos"/>
                <w:b/>
                <w:bCs/>
                <w:i w:val="false"/>
                <w:iCs w:val="false"/>
                <w:sz w:val="24"/>
                <w:szCs w:val="24"/>
              </w:rPr>
              <w:t xml:space="preserve">Effective Date: </w:t>
            </w:r>
            <w:r>
              <w:rPr>
                <w:rFonts w:ascii="Aptos" w:cs="Aptos" w:eastAsia="Aptos" w:hAnsi="Aptos"/>
                <w:b w:val="false"/>
                <w:bCs w:val="false"/>
                <w:i w:val="false"/>
                <w:iCs w:val="false"/>
                <w:sz w:val="24"/>
                <w:szCs w:val="24"/>
              </w:rPr>
              <w:t xml:space="preserve">[Date]    </w:t>
            </w:r>
            <w:r>
              <w:rPr>
                <w:rFonts w:ascii="Aptos" w:cs="Aptos" w:eastAsia="Aptos" w:hAnsi="Aptos"/>
                <w:b/>
                <w:bCs/>
                <w:i w:val="false"/>
                <w:iCs w:val="false"/>
                <w:sz w:val="24"/>
                <w:szCs w:val="24"/>
              </w:rPr>
              <w:t xml:space="preserve">Next Review: </w:t>
            </w:r>
            <w:r>
              <w:rPr>
                <w:rFonts w:ascii="Aptos" w:cs="Aptos" w:eastAsia="Aptos" w:hAnsi="Aptos"/>
                <w:b w:val="false"/>
                <w:bCs w:val="false"/>
                <w:i w:val="false"/>
                <w:iCs w:val="false"/>
                <w:sz w:val="24"/>
                <w:szCs w:val="24"/>
              </w:rPr>
              <w:t xml:space="preserve">[Date]</w:t>
            </w:r>
          </w:p>
          <w:p>
            <w:pPr>
              <w:spacing w:after="60"/>
            </w:pPr>
            <w:r>
              <w:rPr>
                <w:rFonts w:ascii="Aptos" w:cs="Aptos" w:eastAsia="Aptos" w:hAnsi="Aptos"/>
                <w:b/>
                <w:bCs/>
                <w:i w:val="false"/>
                <w:iCs w:val="false"/>
                <w:sz w:val="24"/>
                <w:szCs w:val="24"/>
              </w:rPr>
              <w:t xml:space="preserve">Owner: </w:t>
            </w:r>
            <w:r>
              <w:rPr>
                <w:rFonts w:ascii="Aptos" w:cs="Aptos" w:eastAsia="Aptos" w:hAnsi="Aptos"/>
                <w:b w:val="false"/>
                <w:bCs w:val="false"/>
                <w:i w:val="false"/>
                <w:iCs w:val="false"/>
                <w:sz w:val="24"/>
                <w:szCs w:val="24"/>
              </w:rPr>
              <w:t xml:space="preserve">[Role title]   </w:t>
            </w:r>
            <w:r>
              <w:rPr>
                <w:rFonts w:ascii="Aptos" w:cs="Aptos" w:eastAsia="Aptos" w:hAnsi="Aptos"/>
                <w:b w:val="false"/>
                <w:bCs w:val="false"/>
                <w:i/>
                <w:iCs/>
                <w:color w:val="595959"/>
                <w:sz w:val="24"/>
                <w:szCs w:val="24"/>
              </w:rPr>
              <w:t xml:space="preserve">«use a role, not a person’s name.»</w:t>
            </w:r>
          </w:p>
          <w:p>
            <w:pPr>
              <w:spacing w:after="20"/>
            </w:pPr>
            <w:r>
              <w:rPr>
                <w:rFonts w:ascii="Aptos" w:cs="Aptos" w:eastAsia="Aptos" w:hAnsi="Aptos"/>
                <w:b/>
                <w:bCs/>
                <w:i w:val="false"/>
                <w:iCs w:val="false"/>
                <w:sz w:val="24"/>
                <w:szCs w:val="24"/>
              </w:rPr>
              <w:t xml:space="preserve">Classification: </w:t>
            </w:r>
            <w:r>
              <w:rPr>
                <w:rFonts w:ascii="Aptos" w:cs="Aptos" w:eastAsia="Aptos" w:hAnsi="Aptos"/>
                <w:b w:val="false"/>
                <w:bCs w:val="false"/>
                <w:i w:val="false"/>
                <w:iCs w:val="false"/>
                <w:sz w:val="24"/>
                <w:szCs w:val="24"/>
              </w:rPr>
              <w:t xml:space="preserve">Internal</w:t>
            </w:r>
          </w:p>
          <w:p>
            <w:pPr>
              <w:spacing w:after="0"/>
            </w:pPr>
            <w:r>
              <w:rPr>
                <w:rFonts w:ascii="Aptos" w:cs="Aptos" w:eastAsia="Aptos" w:hAnsi="Aptos"/>
                <w:i/>
                <w:iCs/>
                <w:color w:val="595959"/>
                <w:sz w:val="24"/>
                <w:szCs w:val="24"/>
              </w:rPr>
              <w:t xml:space="preserve">«Minimum for Procedure artifacts. This procedure governs authorized sharing; a release that includes CJIS-regulated data via IDACS raises to Internal / CJIS per the conditional section below. Your agency may raise but not lower this.»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How to use this template </w:t>
            </w:r>
            <w:r>
              <w:rPr>
                <w:rFonts w:ascii="Aptos" w:cs="Aptos" w:eastAsia="Aptos" w:hAnsi="Aptos"/>
                <w:b w:val="false"/>
                <w:bCs w:val="false"/>
                <w:i/>
                <w:iCs/>
                <w:color w:val="595959"/>
                <w:sz w:val="24"/>
                <w:szCs w:val="24"/>
              </w:rPr>
              <w:t xml:space="preserve">(delete this box before publishing)</w:t>
            </w:r>
          </w:p>
          <w:p>
            <w:pPr>
              <w:spacing w:after="140"/>
            </w:pPr>
            <w:r>
              <w:rPr>
                <w:rFonts w:ascii="Aptos" w:cs="Aptos" w:eastAsia="Aptos" w:hAnsi="Aptos"/>
                <w:i/>
                <w:iCs/>
                <w:color w:val="595959"/>
                <w:sz w:val="24"/>
                <w:szCs w:val="24"/>
              </w:rPr>
              <w:t>This template is ready to adopt. Replace every [BRACKETED] field with your agency’s information, write the content described in each « » note, then delete all « » notes before publishing.</w:t>
            </w:r>
          </w:p>
          <w:p>
            <w:pPr>
              <w:spacing w:after="0"/>
            </w:pPr>
            <w:r>
              <w:rPr>
                <w:rFonts w:ascii="Aptos" w:cs="Aptos" w:eastAsia="Aptos" w:hAnsi="Aptos"/>
                <w:b/>
                <w:bCs/>
                <w:i w:val="false"/>
                <w:iCs w:val="false"/>
                <w:sz w:val="24"/>
                <w:szCs w:val="24"/>
              </w:rPr>
              <w:t xml:space="preserve">Placeholder key: </w:t>
            </w:r>
            <w:r>
              <w:rPr>
                <w:rFonts w:ascii="Aptos" w:cs="Aptos" w:eastAsia="Aptos" w:hAnsi="Aptos"/>
                <w:b w:val="false"/>
                <w:bCs w:val="false"/>
                <w:i w:val="false"/>
                <w:iCs w:val="false"/>
                <w:sz w:val="24"/>
                <w:szCs w:val="24"/>
              </w:rPr>
              <w:t xml:space="preserve">[BRACKETED]</w:t>
            </w:r>
            <w:r>
              <w:rPr>
                <w:rFonts w:ascii="Aptos" w:cs="Aptos" w:eastAsia="Aptos" w:hAnsi="Aptos"/>
                <w:b w:val="false"/>
                <w:bCs w:val="false"/>
                <w:i w:val="false"/>
                <w:iCs w:val="false"/>
                <w:sz w:val="24"/>
                <w:szCs w:val="24"/>
              </w:rPr>
              <w:t xml:space="preserve"> = fill in   ·   </w:t>
            </w:r>
            <w:r>
              <w:rPr>
                <w:rFonts w:ascii="Aptos" w:cs="Aptos" w:eastAsia="Aptos" w:hAnsi="Aptos"/>
                <w:b/>
                <w:bCs/>
                <w:i w:val="false"/>
                <w:iCs w:val="false"/>
                <w:sz w:val="24"/>
                <w:szCs w:val="24"/>
              </w:rPr>
              <w:t xml:space="preserve">[REQUIRED]</w:t>
            </w:r>
            <w:r>
              <w:rPr>
                <w:rFonts w:ascii="Aptos" w:cs="Aptos" w:eastAsia="Aptos" w:hAnsi="Aptos"/>
                <w:b w:val="false"/>
                <w:bCs w:val="false"/>
                <w:i w:val="false"/>
                <w:iCs w:val="false"/>
                <w:sz w:val="24"/>
                <w:szCs w:val="24"/>
              </w:rPr>
              <w:t xml:space="preserve"> (bold) = required field   ·   </w:t>
            </w:r>
            <w:r>
              <w:rPr>
                <w:rFonts w:ascii="Aptos" w:cs="Aptos" w:eastAsia="Aptos" w:hAnsi="Aptos"/>
                <w:b w:val="false"/>
                <w:bCs w:val="false"/>
                <w:i/>
                <w:iCs/>
                <w:color w:val="595959"/>
                <w:sz w:val="24"/>
                <w:szCs w:val="24"/>
              </w:rPr>
              <w:t xml:space="preserve">« »</w:t>
            </w:r>
            <w:r>
              <w:rPr>
                <w:rFonts w:ascii="Aptos" w:cs="Aptos" w:eastAsia="Aptos" w:hAnsi="Aptos"/>
                <w:b w:val="false"/>
                <w:bCs w:val="false"/>
                <w:i w:val="false"/>
                <w:iCs w:val="false"/>
                <w:sz w:val="24"/>
                <w:szCs w:val="24"/>
              </w:rPr>
              <w:t xml:space="preserve"> = guidance to delete.</w:t>
            </w:r>
          </w:p>
          <w:p>
            <w:pPr>
              <w:spacing w:after="140"/>
            </w:pPr>
            <w:r>
              <w:rPr>
                <w:rFonts w:ascii="Aptos" w:cs="Aptos" w:eastAsia="Aptos" w:hAnsi="Aptos"/>
                <w:i/>
                <w:iCs/>
                <w:color w:val="595959"/>
                <w:sz w:val="24"/>
                <w:szCs w:val="24"/>
              </w:rPr>
              <w:t xml:space="preserve">Keep the body director-readable. Push technical detail and contact lists to an appendix. Source Authority, approval signatures, and revision history stay at the foot of the document.</w:t>
            </w:r>
          </w:p>
        </w:tc>
      </w:tr>
    </w:tbl>
    <w:p>
      <w:pPr>
        <w:pStyle w:val="Heading2"/>
        <w:spacing w:after="100" w:before="220"/>
      </w:pPr>
      <w:r>
        <w:rPr>
          <w:rFonts w:ascii="Aptos" w:cs="Aptos" w:eastAsia="Aptos" w:hAnsi="Aptos"/>
          <w:b/>
          <w:bCs/>
          <w:color w:val="1B3A5C"/>
          <w:sz w:val="26"/>
          <w:szCs w:val="26"/>
        </w:rPr>
        <w:t xml:space="preserve">1. Purpose</w:t>
      </w:r>
    </w:p>
    <w:p>
      <w:pPr>
        <w:spacing w:after="140"/>
      </w:pPr>
      <w:r>
        <w:rPr>
          <w:rFonts w:ascii="Aptos" w:cs="Aptos" w:eastAsia="Aptos" w:hAnsi="Aptos"/>
          <w:i/>
          <w:iCs/>
          <w:color w:val="595959"/>
          <w:sz w:val="24"/>
          <w:szCs w:val="24"/>
        </w:rPr>
        <w:t xml:space="preserve">«What this procedure accomplishes and when it is performed. One or two sentences.»</w:t>
      </w:r>
    </w:p>
    <w:p>
      <w:pPr>
        <w:spacing w:after="120" w:before="0"/>
      </w:pPr>
      <w:r>
        <w:rPr>
          <w:rFonts w:ascii="Aptos" w:cs="Aptos" w:eastAsia="Aptos" w:hAnsi="Aptos"/>
          <w:b w:val="false"/>
          <w:bCs w:val="false"/>
          <w:i w:val="false"/>
          <w:iCs w:val="false"/>
          <w:sz w:val="24"/>
          <w:szCs w:val="24"/>
        </w:rPr>
        <w:t xml:space="preserve">This procedure defines how the Agency approves the sharing or release of sensitive data to another agency or a third party: who may approve a release, the risk factors weighed before it, and how approved data is transmitted securely. It governs deliberate, authorized sharing. An unauthorized disclosure or data spill is handled by the Unauthorized Disclosure Response &amp; Notification Procedures.</w:t>
      </w:r>
    </w:p>
    <w:p>
      <w:pPr>
        <w:pStyle w:val="Heading2"/>
        <w:spacing w:after="100" w:before="220"/>
      </w:pPr>
      <w:r>
        <w:rPr>
          <w:rFonts w:ascii="Aptos" w:cs="Aptos" w:eastAsia="Aptos" w:hAnsi="Aptos"/>
          <w:b/>
          <w:bCs/>
          <w:color w:val="1B3A5C"/>
          <w:sz w:val="26"/>
          <w:szCs w:val="26"/>
        </w:rPr>
        <w:t xml:space="preserve">2. Scope</w:t>
      </w:r>
    </w:p>
    <w:p>
      <w:pPr>
        <w:spacing w:after="140"/>
      </w:pPr>
      <w:r>
        <w:rPr>
          <w:rFonts w:ascii="Aptos" w:cs="Aptos" w:eastAsia="Aptos" w:hAnsi="Aptos"/>
          <w:i/>
          <w:iCs/>
          <w:color w:val="595959"/>
          <w:sz w:val="24"/>
          <w:szCs w:val="24"/>
        </w:rPr>
        <w:t xml:space="preserve">«What the procedure covers and excludes; which systems or roles it applies to.»</w:t>
      </w:r>
    </w:p>
    <w:p>
      <w:pPr>
        <w:pStyle w:val="ListParagraph"/>
        <w:numPr>
          <w:ilvl w:val="0"/>
          <w:numId w:val="2"/>
        </w:numPr>
        <w:spacing w:after="60"/>
      </w:pPr>
      <w:r>
        <w:rPr>
          <w:rFonts w:ascii="Aptos" w:cs="Aptos" w:eastAsia="Aptos" w:hAnsi="Aptos"/>
          <w:b w:val="false"/>
          <w:bCs w:val="false"/>
          <w:i w:val="false"/>
          <w:iCs w:val="false"/>
          <w:sz w:val="24"/>
          <w:szCs w:val="24"/>
        </w:rPr>
        <w:t xml:space="preserve">Applies to: personnel who request, approve, or transmit shared data: the requester, the approving authority (the Director / Coordinator), and IT support.</w:t>
      </w:r>
    </w:p>
    <w:p>
      <w:pPr>
        <w:pStyle w:val="ListParagraph"/>
        <w:numPr>
          <w:ilvl w:val="0"/>
          <w:numId w:val="2"/>
        </w:numPr>
        <w:spacing w:after="60"/>
      </w:pPr>
      <w:r>
        <w:rPr>
          <w:rFonts w:ascii="Aptos" w:cs="Aptos" w:eastAsia="Aptos" w:hAnsi="Aptos"/>
          <w:b w:val="false"/>
          <w:bCs w:val="false"/>
          <w:i w:val="false"/>
          <w:iCs w:val="false"/>
          <w:sz w:val="24"/>
          <w:szCs w:val="24"/>
        </w:rPr>
        <w:t xml:space="preserve">Covers: the approval workflow for sharing sensitive data with a partner agency or third party, the risk factors weighed before release, secure transmission of approved data, and execution of a Data Sharing Agreement (MOU).</w:t>
      </w:r>
    </w:p>
    <w:p>
      <w:pPr>
        <w:pStyle w:val="ListParagraph"/>
        <w:numPr>
          <w:ilvl w:val="0"/>
          <w:numId w:val="2"/>
        </w:numPr>
        <w:spacing w:after="60"/>
      </w:pPr>
      <w:r>
        <w:rPr>
          <w:rFonts w:ascii="Aptos" w:cs="Aptos" w:eastAsia="Aptos" w:hAnsi="Aptos"/>
          <w:b w:val="false"/>
          <w:bCs w:val="false"/>
          <w:i w:val="false"/>
          <w:iCs w:val="false"/>
          <w:sz w:val="24"/>
          <w:szCs w:val="24"/>
        </w:rPr>
        <w:t xml:space="preserve">Excludes: unauthorized disclosure or data spills, which follow the Unauthorized Disclosure Response &amp; Notification Procedures; and routine internal access, governed by the Data Classification Policy and the Data Access Monitoring Policy.</w:t>
      </w:r>
    </w:p>
    <w:p>
      <w:pPr>
        <w:pStyle w:val="Heading2"/>
        <w:spacing w:after="100" w:before="220"/>
      </w:pPr>
      <w:r>
        <w:rPr>
          <w:rFonts w:ascii="Aptos" w:cs="Aptos" w:eastAsia="Aptos" w:hAnsi="Aptos"/>
          <w:b/>
          <w:bCs/>
          <w:color w:val="1B3A5C"/>
          <w:sz w:val="26"/>
          <w:szCs w:val="26"/>
        </w:rPr>
        <w:t xml:space="preserve">3. Prerequisites</w:t>
      </w:r>
    </w:p>
    <w:p>
      <w:pPr>
        <w:spacing w:after="140"/>
      </w:pPr>
      <w:r>
        <w:rPr>
          <w:rFonts w:ascii="Aptos" w:cs="Aptos" w:eastAsia="Aptos" w:hAnsi="Aptos"/>
          <w:i/>
          <w:iCs/>
          <w:color w:val="595959"/>
          <w:sz w:val="24"/>
          <w:szCs w:val="24"/>
        </w:rPr>
        <w:t xml:space="preserve">«What must be true or in hand before starting: access, tools, approvals, prior steps.»</w:t>
      </w:r>
    </w:p>
    <w:p>
      <w:pPr>
        <w:pStyle w:val="ListParagraph"/>
        <w:numPr>
          <w:ilvl w:val="0"/>
          <w:numId w:val="2"/>
        </w:numPr>
        <w:spacing w:after="60"/>
      </w:pPr>
      <w:r>
        <w:rPr>
          <w:rFonts w:ascii="Aptos" w:cs="Aptos" w:eastAsia="Aptos" w:hAnsi="Aptos"/>
          <w:b w:val="false"/>
          <w:bCs w:val="false"/>
          <w:i w:val="false"/>
          <w:iCs w:val="false"/>
          <w:sz w:val="24"/>
          <w:szCs w:val="24"/>
        </w:rPr>
        <w:t xml:space="preserve">The Data Classification Policy sets the classification of the data proposed for sharing and the handling each class requires.</w:t>
      </w:r>
    </w:p>
    <w:p>
      <w:pPr>
        <w:pStyle w:val="ListParagraph"/>
        <w:numPr>
          <w:ilvl w:val="0"/>
          <w:numId w:val="2"/>
        </w:numPr>
        <w:spacing w:after="60"/>
      </w:pPr>
      <w:r>
        <w:rPr>
          <w:rFonts w:ascii="Aptos" w:cs="Aptos" w:eastAsia="Aptos" w:hAnsi="Aptos"/>
          <w:b w:val="false"/>
          <w:bCs w:val="false"/>
          <w:i w:val="false"/>
          <w:iCs w:val="false"/>
          <w:sz w:val="24"/>
          <w:szCs w:val="24"/>
        </w:rPr>
        <w:t xml:space="preserve">A Data Sharing Agreement (MOU) template is available to execute with the receiving party before any data moves.</w:t>
      </w:r>
    </w:p>
    <w:p>
      <w:pPr>
        <w:pStyle w:val="ListParagraph"/>
        <w:numPr>
          <w:ilvl w:val="0"/>
          <w:numId w:val="2"/>
        </w:numPr>
        <w:spacing w:after="60"/>
      </w:pPr>
      <w:r>
        <w:rPr>
          <w:rFonts w:ascii="Aptos" w:cs="Aptos" w:eastAsia="Aptos" w:hAnsi="Aptos"/>
          <w:b w:val="false"/>
          <w:bCs w:val="false"/>
          <w:i w:val="false"/>
          <w:iCs w:val="false"/>
          <w:sz w:val="24"/>
          <w:szCs w:val="24"/>
        </w:rPr>
        <w:t xml:space="preserve">The requester's identity and authority to request the release are verified.</w:t>
      </w:r>
    </w:p>
    <w:p>
      <w:pPr>
        <w:pStyle w:val="Heading2"/>
        <w:spacing w:after="100" w:before="220"/>
      </w:pPr>
      <w:r>
        <w:rPr>
          <w:rFonts w:ascii="Aptos" w:cs="Aptos" w:eastAsia="Aptos" w:hAnsi="Aptos"/>
          <w:b/>
          <w:bCs/>
          <w:color w:val="1B3A5C"/>
          <w:sz w:val="26"/>
          <w:szCs w:val="26"/>
        </w:rPr>
        <w:t xml:space="preserve">4. Procedure Steps</w:t>
      </w:r>
    </w:p>
    <w:p>
      <w:pPr>
        <w:spacing w:after="140"/>
      </w:pPr>
      <w:r>
        <w:rPr>
          <w:rFonts w:ascii="Aptos" w:cs="Aptos" w:eastAsia="Aptos" w:hAnsi="Aptos"/>
          <w:i/>
          <w:iCs/>
          <w:color w:val="595959"/>
          <w:sz w:val="24"/>
          <w:szCs w:val="24"/>
        </w:rPr>
        <w:t xml:space="preserve">«Steps in execution order. One action per step. Name the responsible role per step. Plain English.»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860"/>
        <w:gridCol w:w="2400"/>
      </w:tblGrid>
      <w:tr>
        <w:trPr>
          <w:cantSplit/>
          <w:tblHeader/>
        </w:trPr>
        <w:tc>
          <w:tcPr>
            <w:tcW w:type="dxa" w:w="11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Step</w:t>
            </w:r>
          </w:p>
        </w:tc>
        <w:tc>
          <w:tcPr>
            <w:tcW w:type="dxa" w:w="58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Action</w:t>
            </w:r>
          </w:p>
        </w:tc>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Responsible role</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1</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Request: the requester submits the proposed sharing, naming the data, its classification, the receiving party, and the purpose.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[Requester]</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2</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Assess risk: weigh the disclosure risk factors before any release: the recipient and their authority to receive, the data classification, and any legal trigger (privacy, CJIS, or statutory limits). Record the assessment.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[Security coordinator]</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3</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Approve or deny: the approving authority approves or denies the release on the risk assessment and the stated purpose. No sensitive data is shared without recorded approval.</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[Director / Coordinator]</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4</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Execute the agreement: before any data moves, execute a Data Sharing Agreement (MOU) with the receiving party setting permitted use, handling, retention, and security obligations.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[Director / Coordinator]</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5</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Transmit securely: send the approved data by a method matched to its classification (encrypted transport or a secure portal) and confirm receipt.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 support]</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6</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Record: record the approval, the executed agreement, and the transmission so the release is traceable, per the Data Access Monitoring Policy.</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[Security coordinator]</w:t>
            </w:r>
          </w:p>
        </w:tc>
      </w:tr>
    </w:tbl>
    <w:p>
      <w:pPr>
        <w:pStyle w:val="Heading2"/>
        <w:spacing w:after="100" w:before="220"/>
      </w:pPr>
      <w:r>
        <w:rPr>
          <w:rFonts w:ascii="Aptos" w:cs="Aptos" w:eastAsia="Aptos" w:hAnsi="Aptos"/>
          <w:b/>
          <w:bCs/>
          <w:color w:val="1B3A5C"/>
          <w:sz w:val="26"/>
          <w:szCs w:val="26"/>
        </w:rPr>
        <w:t xml:space="preserve">5. Verification Criteria</w:t>
      </w:r>
    </w:p>
    <w:p>
      <w:pPr>
        <w:spacing w:after="140"/>
      </w:pPr>
      <w:r>
        <w:rPr>
          <w:rFonts w:ascii="Aptos" w:cs="Aptos" w:eastAsia="Aptos" w:hAnsi="Aptos"/>
          <w:i/>
          <w:iCs/>
          <w:color w:val="595959"/>
          <w:sz w:val="24"/>
          <w:szCs w:val="24"/>
        </w:rPr>
        <w:t xml:space="preserve">«How the operator confirms the procedure worked. State the observable result, not the action.»</w:t>
      </w:r>
    </w:p>
    <w:p>
      <w:pPr>
        <w:spacing w:after="120" w:before="0"/>
      </w:pPr>
      <w:r>
        <w:rPr>
          <w:rFonts w:ascii="Aptos" w:cs="Aptos" w:eastAsia="Aptos" w:hAnsi="Aptos"/>
          <w:b w:val="false"/>
          <w:bCs w:val="false"/>
          <w:i w:val="false"/>
          <w:iCs w:val="false"/>
          <w:sz w:val="24"/>
          <w:szCs w:val="24"/>
        </w:rPr>
        <w:t xml:space="preserve">Every release of sensitive data was approved in writing before transmission, weighed against the recipient, the data classification, and any legal trigger, covered by an executed Data Sharing Agreement (MOU), transmitted by a method matched to its classification, and recorded so the release can be traced.</w:t>
      </w:r>
    </w:p>
    <w:p>
      <w:pPr>
        <w:pStyle w:val="Heading2"/>
        <w:spacing w:after="100" w:before="220"/>
      </w:pPr>
      <w:r>
        <w:rPr>
          <w:rFonts w:ascii="Aptos" w:cs="Aptos" w:eastAsia="Aptos" w:hAnsi="Aptos"/>
          <w:b/>
          <w:bCs/>
          <w:color w:val="1B3A5C"/>
          <w:sz w:val="26"/>
          <w:szCs w:val="26"/>
        </w:rPr>
        <w:t xml:space="preserve">6. Related Documents</w:t>
      </w:r>
    </w:p>
    <w:p>
      <w:pPr>
        <w:spacing w:after="140"/>
      </w:pPr>
      <w:r>
        <w:rPr>
          <w:rFonts w:ascii="Aptos" w:cs="Aptos" w:eastAsia="Aptos" w:hAnsi="Aptos"/>
          <w:i/>
          <w:iCs/>
          <w:color w:val="595959"/>
          <w:sz w:val="24"/>
          <w:szCs w:val="24"/>
        </w:rPr>
        <w:t xml:space="preserve">«Reference dependent artifacts by their Tracker name. Point, do not restate.»</w:t>
      </w:r>
    </w:p>
    <w:p>
      <w:pPr>
        <w:spacing w:after="120" w:before="0"/>
      </w:pPr>
      <w:r>
        <w:rPr>
          <w:rFonts w:ascii="Aptos" w:cs="Aptos" w:eastAsia="Aptos" w:hAnsi="Aptos"/>
          <w:b w:val="false"/>
          <w:bCs w:val="false"/>
          <w:i w:val="false"/>
          <w:iCs w:val="false"/>
          <w:sz w:val="24"/>
          <w:szCs w:val="24"/>
        </w:rPr>
        <w:t xml:space="preserve">Data Classification Policy; Data Sharing Agreement (MOU) Template; Data Access Monitoring Policy; Unauthorized Disclosure Response &amp; Notification Procedures; Data Inventory / Data Map; Document Handling Standard.</w:t>
      </w:r>
    </w:p>
    <w:p>
      <w:pPr>
        <w:pStyle w:val="Heading2"/>
        <w:spacing w:after="100" w:before="220"/>
      </w:pPr>
      <w:r>
        <w:rPr>
          <w:rFonts w:ascii="Aptos" w:cs="Aptos" w:eastAsia="Aptos" w:hAnsi="Aptos"/>
          <w:b/>
          <w:bCs/>
          <w:color w:val="1B3A5C"/>
          <w:sz w:val="26"/>
          <w:szCs w:val="26"/>
        </w:rPr>
        <w:t xml:space="preserve">Profile Scaling Notes</w:t>
      </w:r>
    </w:p>
    <w:p>
      <w:pPr>
        <w:spacing w:after="140"/>
      </w:pPr>
      <w:r>
        <w:rPr>
          <w:rFonts w:ascii="Aptos" w:cs="Aptos" w:eastAsia="Aptos" w:hAnsi="Aptos"/>
          <w:i/>
          <w:iCs/>
          <w:color w:val="595959"/>
          <w:sz w:val="24"/>
          <w:szCs w:val="24"/>
        </w:rPr>
        <w:t xml:space="preserve">One short paragraph per profile: what minimum-viable looks like for that reader and where to scale up. Keep all three if this ships as a template; delete the profiles that do not apply once adopted.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The director approves each release with county or vendor IT: confirm the data's classification, weigh the recipient and any legal limit, sign off, execute the sharing agreement, and send the data encrypted. Keep a dated record of what was shared, with whom, and under which agreement.</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Medium (6–25, shared county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 coordinator screens the request and drafts the agreement while the director approves; shared county IT sends the data through an approved secure channel and logs the release.</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Large (25+, dedicated IT/security)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Requests route through a defined workflow: the security role assesses recipient and classification risk, legal reviews the agreement, the approving authority signs, and the release is transmitted and logged through the Agency's records system.</w:t>
            </w:r>
          </w:p>
        </w:tc>
      </w:tr>
    </w:tbl>
    <w:p>
      <w:pPr>
        <w:spacing w:after="60"/>
      </w:pPr>
    </w:p>
    <w:p>
      <w:pPr>
        <w:pStyle w:val="Heading2"/>
        <w:spacing w:after="100" w:before="220"/>
      </w:pPr>
      <w:r>
        <w:rPr>
          <w:rFonts w:ascii="Aptos" w:cs="Aptos" w:eastAsia="Aptos" w:hAnsi="Aptos"/>
          <w:b/>
          <w:bCs/>
          <w:color w:val="1B3A5C"/>
          <w:sz w:val="26"/>
          <w:szCs w:val="26"/>
        </w:rPr>
        <w:t xml:space="preserve">CJIS Handling (conditional)</w:t>
      </w:r>
    </w:p>
    <w:p>
      <w:pPr>
        <w:spacing w:after="140"/>
      </w:pPr>
      <w:r>
        <w:rPr>
          <w:rFonts w:ascii="Aptos" w:cs="Aptos" w:eastAsia="Aptos" w:hAnsi="Aptos"/>
          <w:i/>
          <w:iCs/>
          <w:color w:val="595959"/>
          <w:sz w:val="24"/>
          <w:szCs w:val="24"/>
        </w:rPr>
        <w:t xml:space="preserve">«Delete this section if the Agency never shares CJIS-regulated data.»</w:t>
      </w:r>
    </w:p>
    <w:p>
      <w:pPr>
        <w:spacing w:after="120" w:before="0"/>
      </w:pPr>
      <w:r>
        <w:rPr>
          <w:rFonts w:ascii="Aptos" w:cs="Aptos" w:eastAsia="Aptos" w:hAnsi="Aptos"/>
          <w:b w:val="false"/>
          <w:bCs w:val="false"/>
          <w:i w:val="false"/>
          <w:iCs w:val="false"/>
          <w:sz w:val="24"/>
          <w:szCs w:val="24"/>
        </w:rPr>
        <w:t xml:space="preserve">CJIS Handling: where a proposed release includes CJIS-regulated data reached through IDACS, apply the FBI CJIS Security Policy information-exchange requirements in addition to the steps above, and raise the classification of that release to Internal / CJIS.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140"/>
            </w:pPr>
            <w:r>
              <w:rPr>
                <w:rFonts w:ascii="Aptos" w:cs="Aptos" w:eastAsia="Aptos" w:hAnsi="Aptos"/>
                <w:i/>
                <w:iCs/>
                <w:color w:val="595959"/>
                <w:sz w:val="24"/>
                <w:szCs w:val="24"/>
              </w:rPr>
              <w:t xml:space="preserve">List only the authorities that map to content in this artifact. Group by authority; order sections and control IDs numerically. No padding. Replace the lines below with the citations that actually apply.</w:t>
            </w:r>
          </w:p>
          <w:p>
            <w:pPr>
              <w:spacing w:after="40" w:before="0"/>
            </w:pPr>
            <w:r>
              <w:rPr>
                <w:rFonts w:ascii="Aptos" w:cs="Aptos" w:eastAsia="Aptos" w:hAnsi="Aptos"/>
                <w:bCs w:val="false"/>
                <w:iCs w:val="false"/>
                <w:sz w:val="24"/>
                <w:szCs w:val="24"/>
              </w:rPr>
              <w:t xml:space="preserve">NENA-STA-040.2-2024: §4.2.2 (Information Classification)</w:t>
            </w:r>
          </w:p>
          <w:p>
            <w:pPr>
              <w:spacing w:after="40" w:before="0"/>
            </w:pPr>
            <w:r>
              <w:rPr>
                <w:rFonts w:ascii="Aptos" w:cs="Aptos" w:eastAsia="Aptos" w:hAnsi="Aptos"/>
                <w:bCs w:val="false"/>
                <w:iCs w:val="false"/>
                <w:sz w:val="24"/>
                <w:szCs w:val="24"/>
              </w:rPr>
              <w:t xml:space="preserve">NIST SP 800-53 Rev. 5: AC-3, AC-4, AC-21</w:t>
            </w:r>
          </w:p>
          <w:p>
            <w:pPr>
              <w:spacing w:after="40" w:before="0"/>
            </w:pPr>
            <w:r>
              <w:rPr>
                <w:rFonts w:ascii="Aptos" w:cs="Aptos" w:eastAsia="Aptos" w:hAnsi="Aptos"/>
                <w:bCs w:val="false"/>
                <w:iCs w:val="false"/>
                <w:sz w:val="24"/>
                <w:szCs w:val="24"/>
              </w:rPr>
              <w:t xml:space="preserve">Indiana statutes and administrative code: HEA 1169 (2021) and IC 24-4.9 apply only if a sharing results in a reportable disclosure; notification then follows the Unauthorized Disclosure Response &amp; Notification Procedures</w:t>
            </w:r>
          </w:p>
          <w:p>
            <w:pPr>
              <w:spacing w:after="40" w:before="0"/>
            </w:pPr>
            <w:r>
              <w:rPr>
                <w:rFonts w:ascii="Aptos" w:cs="Aptos" w:eastAsia="Aptos" w:hAnsi="Aptos"/>
                <w:bCs w:val="false"/>
                <w:iCs w:val="false"/>
                <w:sz w:val="24"/>
                <w:szCs w:val="24"/>
              </w:rPr>
              <w:t xml:space="preserve">CJIS Security Policy v5.9: §5.1 (Information Exchange Agreements) (if CJIS-regulated data is in the shared scope, via IDACS)</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[Approving official / title]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[Owner role]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[Date]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[Role]</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[Initial issue]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Drafter’s note </w:t>
            </w:r>
            <w:r>
              <w:rPr>
                <w:rFonts w:ascii="Aptos" w:cs="Aptos" w:eastAsia="Aptos" w:hAnsi="Aptos"/>
                <w:b w:val="false"/>
                <w:bCs w:val="false"/>
                <w:i/>
                <w:iCs/>
                <w:color w:val="595959"/>
                <w:sz w:val="24"/>
                <w:szCs w:val="24"/>
              </w:rPr>
              <w:t xml:space="preserve">(internal, delete before publishing)</w:t>
            </w:r>
          </w:p>
          <w:p>
            <w:pPr>
              <w:spacing w:after="140"/>
            </w:pPr>
            <w:r>
              <w:rPr>
                <w:rFonts w:ascii="Aptos" w:cs="Aptos" w:eastAsia="Aptos" w:hAnsi="Aptos"/>
                <w:i/>
                <w:iCs/>
                <w:color w:val="595959"/>
                <w:sz w:val="24"/>
                <w:szCs w:val="24"/>
              </w:rPr>
              <w:t xml:space="preserve">This procedure governs authorized, approved data sharing, distinct from the Unauthorized Disclosure Response &amp; Notification Procedures, which handle a breach or spill. Classification floor is Internal; a release including CJIS-regulated data via IDACS raises to Internal / CJIS for that release, handled by the removable conditional CJIS section. Indiana breach statutes (HEA 1169, IC 24-4.9) are pointers only: they bind when a sharing produces a reportable disclosure, and the notification path lives in the Unauthorized Disclosure Response &amp; Notification Procedures. Primary control is NIST AC-21. Confirm the Agency's secure-transmission method, the approval authority, and the precise NENA clause.</w:t>
            </w:r>
          </w:p>
        </w:tc>
      </w:tr>
    </w:tbl>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2"/>
      </w:pBdr>
      <w:jc w:val="right"/>
    </w:pPr>
    <w:r>
      <w:rPr>
        <w:rFonts w:ascii="Aptos" w:cs="Aptos" w:eastAsia="Aptos" w:hAnsi="Aptos"/>
        <w:color w:val="595959"/>
        <w:sz w:val="16"/>
        <w:szCs w:val="16"/>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11"/>
    <w:lvlOverride w:ilvl="0">
      <w:startOverride w:val="1"/>
    </w:lvlOverride>
  </w:num>
  <w:num w:numId="3">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2026-06-01T15:29:11.455Z</dcterms:created>
  <dcterms:modified xsi:type="dcterms:W3CDTF">2026-06-01T15:29:11.455Z</dcterms:modified>
  <dc:title xmlns:dc="http://purl.org/dc/elements/1.1/">Data Sharing &amp; Disclosure Approval Procedure - FORM</dc:title>
</cp:coreProperties>
</file>

<file path=docProps/custom.xml><?xml version="1.0" encoding="utf-8"?>
<Properties xmlns="http://schemas.openxmlformats.org/officeDocument/2006/custom-properties" xmlns:vt="http://schemas.openxmlformats.org/officeDocument/2006/docPropsVTypes"/>
</file>