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«Minimum for Policy artifacts. Append “ / CJIS” if the Agency classifies CJIS-regulated data. Your agency may raise but not lower this.»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policy defines the Agency's data classification tiers and what protection each requires. Replace every [BRACKETED] field, complete the classification table, follow the « » guidance,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is the parent for encryption, retention, disposal, and the data map. Keep the tier names aligned to the NENA NG-SEC taxonomy used across the Agency's documents.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[data owned and controlled solely by another agency under a separate agreement, if any].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Classification: the sensitivity level assigned to a piece of data, which sets the minimum protection it must receive.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{dataGovernanceRole};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«The Agency's tiers, the data mapped to each, the default label, and the minimum protection. Aligned to the NENA NG-SEC taxonomy; “Public” is not used in this library.»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documents not for public release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Agency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Network and system detail, IR and continuity plans, access rosters, CJIS-regulated data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Staff and incident-subject PII, signed acknowledgments, vetting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{dataGovernanceRole2}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{itSupport}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{allPersonnel}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{directorName}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{directorName}, must state the data and handling affected, and expire after {period}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{directorName}.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the three tiers as written and map your data types in the table. The director owns labeling. A single shared drive with folders per tier is enough to start.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data governance role keeps the mapping current and reviews labels when data is shared with other county departments.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Enforce labels in the systems that support them and tie classification to encryption and retention controls. Review the mapping on a set schedule.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if this policy touches CJIS-regulated data (in Indiana, typically via IDACS). Do not restate the CJIS Security Policy; reference it. Delete if not applicable.»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24-4.9: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The classification table ships with example data-type mappings. The Agency confirms which of its data types fall in each tier.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Tiers align to the NENA NG-SEC taxonomy (Internal, Restricted, Confidential); “Public” is not used in this library.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Cross-referenced artifacts use their Tracker names: Asset Criticality Ranking Matrix, Data Access Monitoring Policy, Document Handling Standard, Data Inventory / Data Map, Data Retention Schedule, Secure Disposal Procedures.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