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rFonts w:ascii="Aptos" w:cs="Aptos" w:eastAsia="Aptos" w:hAnsi="Aptos"/>
          <w:b/>
          <w:bCs/>
          <w:color w:val="1B3A5C"/>
          <w:sz w:val="40"/>
          <w:szCs w:val="40"/>
        </w:rPr>
        <w:t xml:space="preserve">Security Role Descriptions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ptos" w:cs="Aptos" w:eastAsia="Aptos" w:hAnsi="Aptos"/>
                <w:b/>
                <w:bCs/>
                <w:i w:val="false"/>
                <w:iCs w:val="false"/>
                <w:sz w:val="24"/>
                <w:szCs w:val="24"/>
              </w:rPr>
              <w:t xml:space="preserve">Authority: </w:t>
            </w: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Adopted by </w:t>
            </w:r>
            <w:r>
              <w:rPr>
                <w:rFonts w:ascii="Aptos" w:cs="Aptos" w:eastAsia="Aptos" w:hAnsi="Aptos"/>
                <w:b/>
                <w:bCs/>
                <w:i w:val="false"/>
                <w:iCs w:val="false"/>
                <w:sz w:val="24"/>
                <w:szCs w:val="24"/>
              </w:rPr>
              <w:t xml:space="preserve">{agencyName}</w:t>
            </w: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 under the authority of </w:t>
            </w:r>
            <w:r>
              <w:rPr>
                <w:rFonts w:ascii="Aptos" w:cs="Aptos" w:eastAsia="Aptos" w:hAnsi="Aptos"/>
                <w:b/>
                <w:bCs/>
                <w:i w:val="false"/>
                <w:iCs w:val="false"/>
                <w:sz w:val="24"/>
                <w:szCs w:val="24"/>
              </w:rPr>
              <w:t xml:space="preserve">{signingOfficialTitle}</w:t>
            </w: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</w:t>
            </w:r>
          </w:p>
          <w:p>
            <w:pPr>
              <w:spacing w:after="60"/>
            </w:pPr>
            <w:r>
              <w:rPr>
                <w:rFonts w:ascii="Aptos" w:cs="Aptos" w:eastAsia="Aptos" w:hAnsi="Aptos"/>
                <w:b/>
                <w:bCs/>
                <w:i w:val="false"/>
                <w:iCs w:val="false"/>
                <w:sz w:val="24"/>
                <w:szCs w:val="24"/>
              </w:rPr>
              <w:t xml:space="preserve">Version: </w:t>
            </w: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{version}    </w:t>
            </w:r>
            <w:r>
              <w:rPr>
                <w:rFonts w:ascii="Aptos" w:cs="Aptos" w:eastAsia="Aptos" w:hAnsi="Aptos"/>
                <w:b/>
                <w:bCs/>
                <w:i w:val="false"/>
                <w:iCs w:val="false"/>
                <w:sz w:val="24"/>
                <w:szCs w:val="24"/>
              </w:rPr>
              <w:t xml:space="preserve">Effective Date: </w:t>
            </w: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{effectiveDate}    </w:t>
            </w:r>
            <w:r>
              <w:rPr>
                <w:rFonts w:ascii="Aptos" w:cs="Aptos" w:eastAsia="Aptos" w:hAnsi="Aptos"/>
                <w:b/>
                <w:bCs/>
                <w:i w:val="false"/>
                <w:iCs w:val="false"/>
                <w:sz w:val="24"/>
                <w:szCs w:val="24"/>
              </w:rPr>
              <w:t xml:space="preserve">Next Review: </w:t>
            </w: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{effectiveDate2}</w:t>
            </w:r>
          </w:p>
          <w:p>
            <w:pPr>
              <w:spacing w:after="60"/>
            </w:pPr>
            <w:r>
              <w:rPr>
                <w:rFonts w:ascii="Aptos" w:cs="Aptos" w:eastAsia="Aptos" w:hAnsi="Aptos"/>
                <w:b/>
                <w:bCs/>
                <w:i w:val="false"/>
                <w:iCs w:val="false"/>
                <w:sz w:val="24"/>
                <w:szCs w:val="24"/>
              </w:rPr>
              <w:t xml:space="preserve">Owner: </w:t>
            </w: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{roleTitle}   </w:t>
            </w:r>
            <w:r>
              <w:rPr>
                <w:rFonts w:ascii="Aptos" w:cs="Aptos" w:eastAsia="Aptos" w:hAnsi="Aptos"/>
                <w:b w:val="false"/>
                <w:bCs w:val="false"/>
                <w:i/>
                <w:iCs/>
                <w:color w:val="595959"/>
                <w:sz w:val="24"/>
                <w:szCs w:val="24"/>
              </w:rPr>
              <w:t xml:space="preserve">«use a role, not a person’s name.»</w:t>
            </w:r>
          </w:p>
          <w:p>
            <w:pPr>
              <w:spacing w:after="20"/>
            </w:pPr>
            <w:r>
              <w:rPr>
                <w:rFonts w:ascii="Aptos" w:cs="Aptos" w:eastAsia="Aptos" w:hAnsi="Aptos"/>
                <w:b/>
                <w:bCs/>
                <w:i w:val="false"/>
                <w:iCs w:val="false"/>
                <w:sz w:val="24"/>
                <w:szCs w:val="24"/>
              </w:rPr>
              <w:t xml:space="preserve">Classification: </w:t>
            </w: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Internal</w:t>
            </w:r>
          </w:p>
          <w:p>
            <w:pPr>
              <w:spacing w:after="0"/>
            </w:pPr>
            <w:r>
              <w:rPr>
                <w:rFonts w:ascii="Aptos" w:cs="Aptos" w:eastAsia="Aptos" w:hAnsi="Aptos"/>
                <w:i/>
                <w:iCs/>
                <w:color w:val="595959"/>
                <w:sz w:val="24"/>
                <w:szCs w:val="24"/>
              </w:rPr>
              <w:t xml:space="preserve">«Minimum for Policy artifacts. Your agency may raise this but not lower it. Append “ / CJIS” if CJIS-regulated data is in scope. Raise to Restricted if this policy embeds specific operational configuration or response logic.»</w:t>
            </w:r>
          </w:p>
        </w:tc>
      </w:tr>
    </w:tbl>
    <w:p>
      <w:pPr>
        <w:spacing w:after="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4F1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ptos" w:cs="Aptos" w:eastAsia="Aptos" w:hAnsi="Aptos"/>
                <w:b/>
                <w:bCs/>
                <w:i w:val="false"/>
                <w:iCs w:val="false"/>
                <w:color w:val="1B3A5C"/>
                <w:sz w:val="24"/>
                <w:szCs w:val="24"/>
              </w:rPr>
              <w:t xml:space="preserve">How to use this template </w:t>
            </w:r>
            <w:r>
              <w:rPr>
                <w:rFonts w:ascii="Aptos" w:cs="Aptos" w:eastAsia="Aptos" w:hAnsi="Aptos"/>
                <w:b w:val="false"/>
                <w:bCs w:val="false"/>
                <w:i/>
                <w:iCs/>
                <w:color w:val="595959"/>
                <w:sz w:val="24"/>
                <w:szCs w:val="24"/>
              </w:rPr>
              <w:t xml:space="preserve">(delete this box before publishing)</w:t>
            </w:r>
          </w:p>
          <w:p>
            <w:pPr>
              <w:spacing w:after="140"/>
            </w:pPr>
            <w:r>
              <w:rPr>
                <w:rFonts w:ascii="Aptos" w:cs="Aptos" w:eastAsia="Aptos" w:hAnsi="Aptos"/>
                <w:i/>
                <w:iCs/>
                <w:color w:val="595959"/>
                <w:sz w:val="24"/>
                <w:szCs w:val="24"/>
              </w:rPr>
              <w:t>This template is ready to adopt. Replace every [BRACKETED] field with your agency's information, follow the « » guidance notes, and delete every « » note and this box before you publish.</w:t>
            </w:r>
          </w:p>
          <w:p>
            <w:pPr>
              <w:spacing w:after="0"/>
            </w:pPr>
            <w:r>
              <w:rPr>
                <w:rFonts w:ascii="Aptos" w:cs="Aptos" w:eastAsia="Aptos" w:hAnsi="Aptos"/>
                <w:b/>
                <w:bCs/>
                <w:i w:val="false"/>
                <w:iCs w:val="false"/>
                <w:sz w:val="24"/>
                <w:szCs w:val="24"/>
              </w:rPr>
              <w:t xml:space="preserve">Placeholder key: </w:t>
            </w: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[BRACKETED]</w:t>
            </w: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 = fill in   ·   </w:t>
            </w:r>
            <w:r>
              <w:rPr>
                <w:rFonts w:ascii="Aptos" w:cs="Aptos" w:eastAsia="Aptos" w:hAnsi="Aptos"/>
                <w:b/>
                <w:bCs/>
                <w:i w:val="false"/>
                <w:iCs w:val="false"/>
                <w:sz w:val="24"/>
                <w:szCs w:val="24"/>
              </w:rPr>
              <w:t xml:space="preserve">[REQUIRED]</w:t>
            </w: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 (bold) = required field   ·   </w:t>
            </w:r>
            <w:r>
              <w:rPr>
                <w:rFonts w:ascii="Aptos" w:cs="Aptos" w:eastAsia="Aptos" w:hAnsi="Aptos"/>
                <w:b w:val="false"/>
                <w:bCs w:val="false"/>
                <w:i/>
                <w:iCs/>
                <w:color w:val="595959"/>
                <w:sz w:val="24"/>
                <w:szCs w:val="24"/>
              </w:rPr>
              <w:t xml:space="preserve">« »</w:t>
            </w: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 = guidance to delete.</w:t>
            </w:r>
          </w:p>
          <w:p>
            <w:pPr>
              <w:spacing w:after="140"/>
            </w:pPr>
            <w:r>
              <w:rPr>
                <w:rFonts w:ascii="Aptos" w:cs="Aptos" w:eastAsia="Aptos" w:hAnsi="Aptos"/>
                <w:i/>
                <w:iCs/>
                <w:color w:val="595959"/>
                <w:sz w:val="24"/>
                <w:szCs w:val="24"/>
              </w:rPr>
              <w:t xml:space="preserve">Keep the body director-readable. Push technical detail and contact lists to an appendix. Source Authority, approval signatures, and revision history stay at the foot of the document.</w:t>
            </w:r>
          </w:p>
        </w:tc>
      </w:tr>
    </w:tbl>
    <w:p>
      <w:pPr>
        <w:pStyle w:val="Heading2"/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 xml:space="preserve">1. Purpose</w:t>
      </w:r>
    </w:p>
    <w:p>
      <w:pPr>
        <w:spacing w:after="140"/>
      </w:pPr>
      <w:r>
        <w:rPr>
          <w:rFonts w:ascii="Aptos" w:cs="Aptos" w:eastAsia="Aptos" w:hAnsi="Aptos"/>
          <w:i/>
          <w:iCs/>
          <w:color w:val="595959"/>
          <w:sz w:val="24"/>
          <w:szCs w:val="24"/>
        </w:rPr>
        <w:t xml:space="preserve">«Two or three sentences: what this policy governs and why the Agency maintains it. Name the outcome, not the activity.»</w:t>
      </w:r>
    </w:p>
    <w:p>
      <w:pPr>
        <w:spacing w:after="120" w:before="0"/>
      </w:pPr>
      <w:r>
        <w:rPr>
          <w:rFonts w:ascii="Aptos" w:cs="Aptos" w:eastAsia="Aptos" w:hAnsi="Aptos"/>
          <w:b w:val="false"/>
          <w:bCs w:val="false"/>
          <w:i w:val="false"/>
          <w:iCs w:val="false"/>
          <w:sz w:val="24"/>
          <w:szCs w:val="24"/>
        </w:rPr>
        <w:t xml:space="preserve">This policy describes the security-relevant roles at {agencyName}, what each role is responsible for, and the screening and training each requires. It extends the RACI Matrix for Cybersecurity into job-description detail and confirms that the Agency has enough trained people, in-house or contracted, to run its security program.</w:t>
      </w:r>
    </w:p>
    <w:p>
      <w:pPr>
        <w:pStyle w:val="Heading2"/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 xml:space="preserve">2. Scope</w:t>
      </w:r>
    </w:p>
    <w:p>
      <w:pPr>
        <w:spacing w:after="140"/>
      </w:pPr>
      <w:r>
        <w:rPr>
          <w:rFonts w:ascii="Aptos" w:cs="Aptos" w:eastAsia="Aptos" w:hAnsi="Aptos"/>
          <w:i/>
          <w:iCs/>
          <w:color w:val="595959"/>
          <w:sz w:val="24"/>
          <w:szCs w:val="24"/>
        </w:rPr>
        <w:t xml:space="preserve">«Who and what the policy covers, and what it excludes. State exclusions explicitly.»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ptos" w:cs="Aptos" w:eastAsia="Aptos" w:hAnsi="Aptos"/>
          <w:b w:val="false"/>
          <w:bCs w:val="false"/>
          <w:i w:val="false"/>
          <w:iCs w:val="false"/>
          <w:sz w:val="24"/>
          <w:szCs w:val="24"/>
        </w:rPr>
        <w:t xml:space="preserve">Applies to: every role that carries a security duty, whether filled by Agency staff, county or contracted IT, or a vendor.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ptos" w:cs="Aptos" w:eastAsia="Aptos" w:hAnsi="Aptos"/>
          <w:b w:val="false"/>
          <w:bCs w:val="false"/>
          <w:i w:val="false"/>
          <w:iCs w:val="false"/>
          <w:sz w:val="24"/>
          <w:szCs w:val="24"/>
        </w:rPr>
        <w:t xml:space="preserve">Covers: the reporting line, duties, screening, and training for each security-relevant role.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ptos" w:cs="Aptos" w:eastAsia="Aptos" w:hAnsi="Aptos"/>
          <w:b w:val="false"/>
          <w:bCs w:val="false"/>
          <w:i w:val="false"/>
          <w:iCs w:val="false"/>
          <w:sz w:val="24"/>
          <w:szCs w:val="24"/>
        </w:rPr>
        <w:t xml:space="preserve">Excludes: [purely operational roles with no security duty, if the Agency chooses to list them].</w:t>
      </w:r>
    </w:p>
    <w:p>
      <w:pPr>
        <w:pStyle w:val="Heading2"/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 xml:space="preserve">3. Definitions</w:t>
      </w:r>
    </w:p>
    <w:p>
      <w:pPr>
        <w:spacing w:after="140"/>
      </w:pPr>
      <w:r>
        <w:rPr>
          <w:rFonts w:ascii="Aptos" w:cs="Aptos" w:eastAsia="Aptos" w:hAnsi="Aptos"/>
          <w:i/>
          <w:iCs/>
          <w:color w:val="595959"/>
          <w:sz w:val="24"/>
          <w:szCs w:val="24"/>
        </w:rPr>
        <w:t xml:space="preserve">«Optional. Include only terms this policy uses with a narrower meaning than common usage. Do not define common operational terms (CAD, RMS, ESInet, dispatcher). Delete this section if not needed.»</w:t>
      </w:r>
    </w:p>
    <w:p>
      <w:pPr>
        <w:spacing w:after="120" w:before="0"/>
      </w:pPr>
      <w:r>
        <w:rPr>
          <w:rFonts w:ascii="Aptos" w:cs="Aptos" w:eastAsia="Aptos" w:hAnsi="Aptos"/>
          <w:b w:val="false"/>
          <w:bCs w:val="false"/>
          <w:i w:val="false"/>
          <w:iCs w:val="false"/>
          <w:sz w:val="24"/>
          <w:szCs w:val="24"/>
        </w:rPr>
        <w:t xml:space="preserve">Security-relevant role: any role that configures, monitors, responds to incidents on, or audits Agency systems or data, whether or not security is its primary job.</w:t>
      </w:r>
    </w:p>
    <w:p>
      <w:pPr>
        <w:pStyle w:val="Heading2"/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 xml:space="preserve">4. Role Descriptions</w:t>
      </w:r>
    </w:p>
    <w:p>
      <w:pPr>
        <w:spacing w:after="140"/>
      </w:pPr>
      <w:r>
        <w:rPr>
          <w:rFonts w:ascii="Aptos" w:cs="Aptos" w:eastAsia="Aptos" w:hAnsi="Aptos"/>
          <w:i/>
          <w:iCs/>
          <w:color w:val="595959"/>
          <w:sz w:val="24"/>
          <w:szCs w:val="24"/>
        </w:rPr>
        <w:t xml:space="preserve">«One row per security-relevant role: title, reporting line, key duties, and the screening and training it requires. Add or remove rows to match the Agency. Use roles, not personal names.»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1500"/>
        <w:gridCol w:w="3960"/>
        <w:gridCol w:w="2200"/>
      </w:tblGrid>
      <w:tr>
        <w:trPr>
          <w:tblHeader/>
        </w:trPr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Role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Reporting line</w:t>
            </w:r>
          </w:p>
        </w:tc>
        <w:tc>
          <w:tcPr>
            <w:tcW w:type="dxa" w:w="39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Key duties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Required screening &amp; training</w:t>
            </w:r>
          </w:p>
        </w:tc>
      </w:tr>
      <w:tr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Cybersecurity &amp; privacy lead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{reportsToDirector}</w:t>
            </w:r>
          </w:p>
        </w:tc>
        <w:tc>
          <w:tcPr>
            <w:tcW w:type="dxa" w:w="39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Owns the security program, maintains policies, coordinates incident response, and reports to the governance body.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Background check; CJIS security-awareness where IDACS in scope; role-based security training</w:t>
            </w:r>
          </w:p>
        </w:tc>
      </w:tr>
      <w:tr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System administrator / IT support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{itLead}</w:t>
            </w:r>
          </w:p>
        </w:tc>
        <w:tc>
          <w:tcPr>
            <w:tcW w:type="dxa" w:w="39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Configures systems securely, applies patches, manages accounts, and generates and protects logs.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Background check; CJIS security-awareness where IDACS in scope; technical security training</w:t>
            </w:r>
          </w:p>
        </w:tc>
      </w:tr>
      <w:tr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Log reviewer / security monitor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{reportsToSecurityLead}</w:t>
            </w:r>
          </w:p>
        </w:tc>
        <w:tc>
          <w:tcPr>
            <w:tcW w:type="dxa" w:w="39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Reviews logs, triages alerts, and escalates suspected incidents.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[Background check; monitoring and detection training]</w:t>
            </w:r>
          </w:p>
        </w:tc>
      </w:tr>
      <w:tr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Incident responder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{reportsToSecurityLead2}</w:t>
            </w:r>
          </w:p>
        </w:tc>
        <w:tc>
          <w:tcPr>
            <w:tcW w:type="dxa" w:w="39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Executes the Incident Response Plan, contains and recovers from incidents.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[Background check; incident-response training]</w:t>
            </w:r>
          </w:p>
        </w:tc>
      </w:tr>
      <w:tr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Auditor / reviewer (may be contracted)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[independent of day-to-day operations]</w:t>
            </w:r>
          </w:p>
        </w:tc>
        <w:tc>
          <w:tcPr>
            <w:tcW w:type="dxa" w:w="39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Performs periodic access and control reviews.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[Background check; audit training]</w:t>
            </w:r>
          </w:p>
        </w:tc>
      </w:tr>
      <w:tr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[Add Agency-specific roles]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{reportingLine}</w:t>
            </w:r>
          </w:p>
        </w:tc>
        <w:tc>
          <w:tcPr>
            <w:tcW w:type="dxa" w:w="39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{duties}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[screening &amp; training]</w:t>
            </w:r>
          </w:p>
        </w:tc>
      </w:tr>
    </w:tbl>
    <w:p>
      <w:pPr>
        <w:spacing w:after="120" w:before="0"/>
      </w:pPr>
      <w:r>
        <w:rPr>
          <w:rFonts w:ascii="Aptos" w:cs="Aptos" w:eastAsia="Aptos" w:hAnsi="Aptos"/>
          <w:b w:val="false"/>
          <w:bCs w:val="false"/>
          <w:i w:val="false"/>
          <w:iCs w:val="false"/>
          <w:sz w:val="24"/>
          <w:szCs w:val="24"/>
        </w:rPr>
        <w:t xml:space="preserve">One person may hold several of these roles at a small Agency, and a role may be filled by a contractor. Where a role is contracted, the contract states the same duties, screening, and training. The RACI Matrix for Cybersecurity shows who holds each role.</w:t>
      </w:r>
    </w:p>
    <w:p>
      <w:pPr>
        <w:pStyle w:val="Heading2"/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 xml:space="preserve">5. Staffing Adequacy &amp; Coverage</w:t>
      </w:r>
    </w:p>
    <w:p>
      <w:pPr>
        <w:spacing w:after="140"/>
      </w:pPr>
      <w:r>
        <w:rPr>
          <w:rFonts w:ascii="Aptos" w:cs="Aptos" w:eastAsia="Aptos" w:hAnsi="Aptos"/>
          <w:i/>
          <w:iCs/>
          <w:color w:val="595959"/>
          <w:sz w:val="24"/>
          <w:szCs w:val="24"/>
        </w:rPr>
        <w:t xml:space="preserve">«How the Agency confirms every security duty is covered by a trained person or contractor. This is where understaffing is caught.»</w:t>
      </w:r>
    </w:p>
    <w:p>
      <w:pPr>
        <w:spacing w:after="120" w:before="0"/>
      </w:pPr>
      <w:r>
        <w:rPr>
          <w:rFonts w:ascii="Aptos" w:cs="Aptos" w:eastAsia="Aptos" w:hAnsi="Aptos"/>
          <w:b w:val="false"/>
          <w:bCs w:val="false"/>
          <w:i w:val="false"/>
          <w:iCs w:val="false"/>
          <w:sz w:val="24"/>
          <w:szCs w:val="24"/>
        </w:rPr>
        <w:t xml:space="preserve">The Agency confirms at least annually that every duty above is assigned to a named, trained person or contractor, and that four core capabilities are covered: secure configuration, monitoring, incident response, and audit. Where a capability is not covered in-house, the Agency contracts for it and records the arrangement in the IT Support Accountability Agreement. A gap in coverage is recorded as a finding and tracked to closure.</w:t>
      </w:r>
    </w:p>
    <w:p>
      <w:pPr>
        <w:pStyle w:val="Heading2"/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 xml:space="preserve">6. Exceptions</w:t>
      </w:r>
    </w:p>
    <w:p>
      <w:pPr>
        <w:spacing w:after="140"/>
      </w:pPr>
      <w:r>
        <w:rPr>
          <w:rFonts w:ascii="Aptos" w:cs="Aptos" w:eastAsia="Aptos" w:hAnsi="Aptos"/>
          <w:i/>
          <w:iCs/>
          <w:color w:val="595959"/>
          <w:sz w:val="24"/>
          <w:szCs w:val="24"/>
        </w:rPr>
        <w:t xml:space="preserve">«Who may grant an exception, how it is requested and recorded, and how long it lasts before review.»</w:t>
      </w:r>
    </w:p>
    <w:p>
      <w:pPr>
        <w:spacing w:after="120" w:before="0"/>
      </w:pPr>
      <w:r>
        <w:rPr>
          <w:rFonts w:ascii="Aptos" w:cs="Aptos" w:eastAsia="Aptos" w:hAnsi="Aptos"/>
          <w:b w:val="false"/>
          <w:bCs w:val="false"/>
          <w:i w:val="false"/>
          <w:iCs w:val="false"/>
          <w:sz w:val="24"/>
          <w:szCs w:val="24"/>
        </w:rPr>
        <w:t xml:space="preserve">{directorName} may approve a temporary arrangement where a role is shared or contracted differently than described, stating who covers the duty and for how long, reviewed at least annually.</w:t>
      </w:r>
    </w:p>
    <w:p>
      <w:pPr>
        <w:pStyle w:val="Heading2"/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 xml:space="preserve">7. Review Schedule</w:t>
      </w:r>
    </w:p>
    <w:p>
      <w:pPr>
        <w:spacing w:after="140"/>
      </w:pPr>
      <w:r>
        <w:rPr>
          <w:rFonts w:ascii="Aptos" w:cs="Aptos" w:eastAsia="Aptos" w:hAnsi="Aptos"/>
          <w:i/>
          <w:iCs/>
          <w:color w:val="595959"/>
          <w:sz w:val="24"/>
          <w:szCs w:val="24"/>
        </w:rPr>
        <w:t xml:space="preserve">«Review cadence and trigger events (annual at minimum; also on significant change). Name the owning role.»</w:t>
      </w:r>
    </w:p>
    <w:p>
      <w:pPr>
        <w:spacing w:after="120" w:before="0"/>
      </w:pPr>
      <w:r>
        <w:rPr>
          <w:rFonts w:ascii="Aptos" w:cs="Aptos" w:eastAsia="Aptos" w:hAnsi="Aptos"/>
          <w:b w:val="false"/>
          <w:bCs w:val="false"/>
          <w:i w:val="false"/>
          <w:iCs w:val="false"/>
          <w:sz w:val="24"/>
          <w:szCs w:val="24"/>
        </w:rPr>
        <w:t xml:space="preserve">This policy is reviewed at least annually and after any significant change to Agency staffing, systems, or applicable law, by the {ownerRole}.</w:t>
      </w:r>
    </w:p>
    <w:p>
      <w:pPr>
        <w:pStyle w:val="Heading2"/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 xml:space="preserve">Profile Scaling Notes</w:t>
      </w:r>
    </w:p>
    <w:p>
      <w:pPr>
        <w:spacing w:after="140"/>
      </w:pPr>
      <w:r>
        <w:rPr>
          <w:rFonts w:ascii="Aptos" w:cs="Aptos" w:eastAsia="Aptos" w:hAnsi="Aptos"/>
          <w:i/>
          <w:iCs/>
          <w:color w:val="595959"/>
          <w:sz w:val="24"/>
          <w:szCs w:val="24"/>
        </w:rPr>
        <w:t xml:space="preserve">One short paragraph per profile: what minimum-viable looks like for that reader and where to scale up. Keep all three if this ships as a template; delete the profiles that do not apply once adopted.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160"/>
      </w:tblGrid>
      <w:tr>
        <w:trPr>
          <w:tblHeader/>
        </w:trPr>
        <w:tc>
          <w:tcPr>
            <w:tcW w:type="dxa" w:w="3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PSAP Profile</w:t>
            </w:r>
          </w:p>
        </w:tc>
        <w:tc>
          <w:tcPr>
            <w:tcW w:type="dxa" w:w="6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Minimum-viable implementation</w:t>
            </w:r>
          </w:p>
        </w:tc>
      </w:tr>
      <w:tr>
        <w:tc>
          <w:tcPr>
            <w:tcW w:type="dxa" w:w="3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Small (1–5 dispatchers, no in-house IT)</w:t>
            </w:r>
          </w:p>
        </w:tc>
        <w:tc>
          <w:tcPr>
            <w:tcW w:type="dxa" w:w="6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Expect one or two people to hold every role, often with a contractor for audit and incident response. Name who covers each duty even if it is the same person, and confirm the contractor’s obligations in the IT Support Accountability Agreement.</w:t>
            </w:r>
          </w:p>
        </w:tc>
      </w:tr>
      <w:tr>
        <w:tc>
          <w:tcPr>
            <w:tcW w:type="dxa" w:w="3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Medium (6–25, shared county IT)</w:t>
            </w:r>
          </w:p>
        </w:tc>
        <w:tc>
          <w:tcPr>
            <w:tcW w:type="dxa" w:w="6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A small county IT team splits the technical roles; a part-time security coordinator owns monitoring and response. Contract for independent audit.</w:t>
            </w:r>
          </w:p>
        </w:tc>
      </w:tr>
      <w:tr>
        <w:tc>
          <w:tcPr>
            <w:tcW w:type="dxa" w:w="3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Large (25+, dedicated IT/security)</w:t>
            </w:r>
          </w:p>
        </w:tc>
        <w:tc>
          <w:tcPr>
            <w:tcW w:type="dxa" w:w="6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Dedicated staff hold distinct roles, with a security analyst for monitoring and a separate reviewer to keep audit independent.</w:t>
            </w:r>
          </w:p>
        </w:tc>
      </w:tr>
    </w:tbl>
    <w:p>
      <w:pPr>
        <w:pStyle w:val="Heading2"/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 xml:space="preserve">CJIS Handling Addendum</w:t>
      </w:r>
    </w:p>
    <w:p>
      <w:pPr>
        <w:spacing w:after="120" w:before="0"/>
      </w:pPr>
      <w:r>
        <w:rPr>
          <w:rFonts w:ascii="Aptos" w:cs="Aptos" w:eastAsia="Aptos" w:hAnsi="Aptos"/>
          <w:b w:val="false"/>
          <w:bCs w:val="false"/>
          <w:i w:val="false"/>
          <w:iCs w:val="false"/>
          <w:sz w:val="24"/>
          <w:szCs w:val="24"/>
        </w:rPr>
        <w:t xml:space="preserve">CJIS Handling: Roles with access to CJIS-regulated data, reached in Indiana through IDACS, are subject to CJIS Security Policy v5.9 §5.12 (Personnel Security) screening and §5.2 security-awareness training, and to 240 IAC 5, in addition to the requirements above.</w:t>
      </w:r>
    </w:p>
    <w:p>
      <w:pPr>
        <w:spacing w:after="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ptos" w:cs="Aptos" w:eastAsia="Aptos" w:hAnsi="Aptos"/>
                <w:b/>
                <w:bCs/>
                <w:i w:val="false"/>
                <w:iCs w:val="false"/>
                <w:color w:val="1B3A5C"/>
                <w:sz w:val="24"/>
                <w:szCs w:val="24"/>
              </w:rPr>
              <w:t xml:space="preserve">Source Authority</w:t>
            </w:r>
          </w:p>
          <w:p>
            <w:r>
              <w:rPr>
                <w:rFonts w:ascii="Aptos" w:cs="Aptos" w:eastAsia="Aptos" w:hAnsi="Aptos"/>
                <w:sz w:val="24"/>
                <w:szCs w:val="24"/>
              </w:rPr>
              <w:t xml:space="preserve">NENA-STA-040.2-2024: §3.4, §4.1.1, §5.1.2</w:t>
            </w:r>
          </w:p>
          <w:p>
            <w:r>
              <w:rPr>
                <w:rFonts w:ascii="Aptos" w:cs="Aptos" w:eastAsia="Aptos" w:hAnsi="Aptos"/>
                <w:sz w:val="24"/>
                <w:szCs w:val="24"/>
              </w:rPr>
              <w:t xml:space="preserve">NIST SP 800-53 Rev. 5: AT-3, PM-2, PS-2, PS-3</w:t>
            </w:r>
          </w:p>
          <w:p>
            <w:r>
              <w:rPr>
                <w:rFonts w:ascii="Aptos" w:cs="Aptos" w:eastAsia="Aptos" w:hAnsi="Aptos"/>
                <w:sz w:val="24"/>
                <w:szCs w:val="24"/>
              </w:rPr>
              <w:t xml:space="preserve">Indiana statutes and administrative code: IC 36-8-16.8: Public Safety Telecommunicator Training; 240 IAC 5: IDACS Security (where IDACS is in scope)</w:t>
            </w:r>
          </w:p>
          <w:p>
            <w:r>
              <w:rPr>
                <w:rFonts w:ascii="Aptos" w:cs="Aptos" w:eastAsia="Aptos" w:hAnsi="Aptos"/>
                <w:sz w:val="24"/>
                <w:szCs w:val="24"/>
              </w:rPr>
              <w:t xml:space="preserve">CJIS Security Policy v5.9: §5.12 (Personnel Security; CJIS-regulated data in scope, via IDACS)</w:t>
            </w:r>
          </w:p>
        </w:tc>
      </w:tr>
    </w:tbl>
    <w:p>
      <w:pPr>
        <w:pStyle w:val="Heading2"/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 xml:space="preserve">Approval Signatures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2360"/>
        <w:gridCol w:w="2600"/>
        <w:gridCol w:w="1400"/>
      </w:tblGrid>
      <w:tr>
        <w:trPr>
          <w:tblHeader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Role</w:t>
            </w:r>
          </w:p>
        </w:tc>
        <w:tc>
          <w:tcPr>
            <w:tcW w:type="dxa" w:w="2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Name</w:t>
            </w:r>
          </w:p>
        </w:tc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Signature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Date</w:t>
            </w:r>
          </w:p>
        </w:tc>
      </w:tr>
      <w:t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{approvingOfficialTitle}</w:t>
            </w:r>
          </w:p>
        </w:tc>
        <w:tc>
          <w:tcPr>
            <w:tcW w:type="dxa" w:w="2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/>
        </w:tc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/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/>
        </w:tc>
      </w:tr>
      <w:t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{ownerRole2}</w:t>
            </w:r>
          </w:p>
        </w:tc>
        <w:tc>
          <w:tcPr>
            <w:tcW w:type="dxa" w:w="2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/>
        </w:tc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/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/>
        </w:tc>
      </w:tr>
    </w:tbl>
    <w:p>
      <w:pPr>
        <w:pStyle w:val="Heading2"/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 xml:space="preserve">Revision History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00"/>
        <w:gridCol w:w="1600"/>
        <w:gridCol w:w="2200"/>
        <w:gridCol w:w="4260"/>
      </w:tblGrid>
      <w:tr>
        <w:trPr>
          <w:tblHeader/>
        </w:trPr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Version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Date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Author</w:t>
            </w:r>
          </w:p>
        </w:tc>
        <w:tc>
          <w:tcPr>
            <w:tcW w:type="dxa" w:w="42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Summary of Change</w:t>
            </w:r>
          </w:p>
        </w:tc>
      </w:tr>
      <w:tr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{version2}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{effectiveDate3}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{reviewerRole}</w:t>
            </w:r>
          </w:p>
        </w:tc>
        <w:tc>
          <w:tcPr>
            <w:tcW w:type="dxa" w:w="42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{revisionNote}</w:t>
            </w:r>
          </w:p>
        </w:tc>
      </w:tr>
    </w:tbl>
    <w:p>
      <w:pPr>
        <w:spacing w:after="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4F1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ptos" w:cs="Aptos" w:eastAsia="Aptos" w:hAnsi="Aptos"/>
                <w:b/>
                <w:bCs/>
                <w:i w:val="false"/>
                <w:iCs w:val="false"/>
                <w:color w:val="1B3A5C"/>
                <w:sz w:val="24"/>
                <w:szCs w:val="24"/>
              </w:rPr>
              <w:t xml:space="preserve">Drafter’s note (internal, delete before publishing)</w:t>
            </w:r>
          </w:p>
          <w:p>
            <w:r>
              <w:rPr>
                <w:rFonts w:ascii="Aptos" w:cs="Aptos" w:eastAsia="Aptos" w:hAnsi="Aptos"/>
                <w:sz w:val="24"/>
                <w:szCs w:val="24"/>
              </w:rPr>
              <w:t xml:space="preserve">Confirm the Agency’s actual security roles and reporting lines (Section 4); add or remove rows to match.</w:t>
            </w:r>
          </w:p>
          <w:p>
            <w:r>
              <w:rPr>
                <w:rFonts w:ascii="Aptos" w:cs="Aptos" w:eastAsia="Aptos" w:hAnsi="Aptos"/>
                <w:sz w:val="24"/>
                <w:szCs w:val="24"/>
              </w:rPr>
              <w:t xml:space="preserve">Confirm which roles are contracted and that the contract carries matching duties, screening, and training.</w:t>
            </w:r>
          </w:p>
          <w:p>
            <w:r>
              <w:rPr>
                <w:rFonts w:ascii="Aptos" w:cs="Aptos" w:eastAsia="Aptos" w:hAnsi="Aptos"/>
                <w:sz w:val="24"/>
                <w:szCs w:val="24"/>
              </w:rPr>
              <w:t xml:space="preserve">Confirm screening and training per role with the Background Check &amp; Screening Policy and the training artifacts.</w:t>
            </w:r>
          </w:p>
        </w:tc>
      </w:tr>
    </w:tbl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ptos" w:cs="Aptos" w:eastAsia="Aptos" w:hAnsi="Aptos"/>
        <w:color w:val="595959"/>
        <w:sz w:val="18"/>
        <w:szCs w:val="18"/>
      </w:rPr>
      <w:t xml:space="preserve">Page </w:t>
    </w:r>
    <w:r>
      <w:rPr>
        <w:rFonts w:ascii="Aptos" w:cs="Aptos" w:eastAsia="Aptos" w:hAnsi="Aptos"/>
        <w:color w:val="595959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rFonts w:ascii="Aptos" w:cs="Aptos" w:eastAsia="Aptos" w:hAnsi="Aptos"/>
        <w:color w:val="595959"/>
        <w:sz w:val="18"/>
        <w:szCs w:val="18"/>
      </w:rPr>
      <w:t xml:space="preserve"> of </w:t>
    </w:r>
    <w:r>
      <w:rPr>
        <w:rFonts w:ascii="Aptos" w:cs="Aptos" w:eastAsia="Aptos" w:hAnsi="Aptos"/>
        <w:color w:val="595959"/>
        <w:sz w:val="18"/>
        <w:szCs w:val="18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1B3A5C" w:sz="6" w:space="2"/>
      </w:pBdr>
      <w:jc w:val="right"/>
    </w:pPr>
    <w:r>
      <w:rPr>
        <w:rFonts w:ascii="Aptos" w:cs="Aptos" w:eastAsia="Aptos" w:hAnsi="Aptos"/>
        <w:color w:val="595959"/>
        <w:sz w:val="16"/>
        <w:szCs w:val="16"/>
      </w:rPr>
      <w:t xml:space="preserve"/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00" w:hanging="32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00" w:hanging="320"/>
      </w:pPr>
    </w:lvl>
  </w:abstractNum>
  <w:abstractNum w:abstractNumId="4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600" w:hanging="320"/>
      </w:pPr>
    </w:lvl>
  </w:abstractNum>
  <w:abstractNum w:abstractNumId="5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600" w:hanging="320"/>
      </w:p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00" w:hanging="320"/>
      </w:pPr>
    </w:lvl>
  </w:abstractNum>
  <w:abstractNum w:abstractNumId="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00" w:hanging="320"/>
      </w:pPr>
    </w:lvl>
  </w:abstractNum>
  <w:abstractNum w:abstractNumId="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00" w:hanging="320"/>
      </w:pPr>
    </w:lvl>
  </w:abstractNum>
  <w:abstractNum w:abstractNumId="9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600" w:hanging="320"/>
      </w:pPr>
    </w:lvl>
  </w:abstractNum>
  <w:abstractNum w:abstractNumId="10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600" w:hanging="320"/>
      </w:pPr>
    </w:lvl>
  </w:abstractNum>
  <w:abstractNum w:abstractNumId="11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600" w:hanging="320"/>
      </w:pPr>
    </w:lvl>
  </w:abstractNum>
  <w:abstractNum w:abstractNumId="1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600" w:hanging="320"/>
      </w:pPr>
    </w:lvl>
  </w:abstractNum>
  <w:num w:numId="1">
    <w:abstractNumId w:val="1"/>
    <w:lvlOverride w:ilvl="0">
      <w:startOverride w:val="1"/>
    </w:lvlOverride>
  </w:num>
  <w:num w:numId="2">
    <w:abstractNumId w:val="4"/>
    <w:lvlOverride w:ilvl="0">
      <w:startOverride w:val="1"/>
    </w:lvlOverride>
  </w:num>
  <w:num w:numId="3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ptos" w:cs="Aptos" w:eastAsia="Aptos" w:hAnsi="Aptos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240"/>
      <w:outlineLvl w:val="0"/>
    </w:pPr>
    <w:rPr>
      <w:rFonts w:ascii="Aptos" w:cs="Aptos" w:eastAsia="Aptos" w:hAnsi="Aptos"/>
      <w:b/>
      <w:bCs/>
      <w:color w:val="1B3A5C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00" w:before="220"/>
      <w:outlineLvl w:val="1"/>
    </w:pPr>
    <w:rPr>
      <w:rFonts w:ascii="Aptos" w:cs="Aptos" w:eastAsia="Aptos" w:hAnsi="Aptos"/>
      <w:b/>
      <w:bCs/>
      <w:color w:val="1B3A5C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2026-06-01T15:29:11.401Z</dcterms:created>
  <dcterms:modified xsi:type="dcterms:W3CDTF">2026-06-01T15:29:11.401Z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