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MFA Implementation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  <w:i/>
                <w:color w:val="595959"/>
              </w:rPr>
              <w:t xml:space="preserve">«Minimum for this artifact. The / CJIS marker covers systems that reach CJIS-regulated data via IDACS; remove it if none are in scope.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record documents where multi-factor authentication (MFA) is enforced across {agencyName} systems, the method in use, and any exceptions, as evidence that the Password &amp; Authentication Policy MFA requirement is met. It captures the as-built state, not the requirement.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CJIS Handling: where a listed system reaches CJIS-regulated data via IDACS, apply CJIS Security Policy v5.9 §5.6 (advanced authentication) in addition to the controls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MFA Standard and Coverage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i/>
          <w:color w:val="595959"/>
        </w:rPr>
        <w:t xml:space="preserve">« The Agency's overall MFA posture: the standard method and where MFA is required.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standard method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{mfaMethod}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 / admin accounts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{mfaRequired}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{mfaRequired2}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 services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{mfaRequired3}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{roleTitle2}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MFA Enforcement by System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i/>
          <w:color w:val="595959"/>
        </w:rPr>
        <w:t xml:space="preserve">« One row per system in scope. Record MFA as it is actually enforced.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Enforced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Account Scope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{system}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{remoteOnPremCloud}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{yesNo}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{appTokenOtp}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{privilegedAll}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{system2}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{remoteOnPremCloud2}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{yesNo2}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{appTokenOtp2}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{privilegedAll2}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{system3}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{remoteOnPremCloud3}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{yesNo3}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{appTokenOtp3}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{privilegedAll3}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Exceptions and Compensating Controls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i/>
          <w:color w:val="595959"/>
        </w:rPr>
        <w:t xml:space="preserve">« One row per system where MFA is not enforced: the reason, the compensating control, who approved it, and the review date.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Reason MFA not enforced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Compensating control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Review 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{system4}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{reason}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{control}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{effectiveDate3}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{system5}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{reason2}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{control2}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MFA coverage is validated against the Password &amp; Authentication Policy at least {reviewCadence} by the {ownerRole}; new systems are checked at go-live and exceptions are reviewed on the date shown.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systems. One person records, for each, whether MFA is on and how (app or code), and notes any system that cannot take it yet with a reason.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named coordinator keeps the per-system list for the county's shared systems and confirms MFA on remote access and privileged accounts.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Populated from the identity platform; MFA state per system is exported and reconciled, and exceptions carry a compensating control and review date.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IA-2, IA-2(1), IA-2(2),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§5.6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{systemOwnerRole}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{securityReviewerRole}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As-built evidence that the Password &amp; Authentication Policy MFA requirement is met; the requirement itself lives in that policy (point, do not restate). Sensitive-interface MFA (SBC consoles) is set in the System Configuration Baselines and privileged MFA in the PAM Policy. Remove the / CJIS marker and the CJIS line if no IDACS or CJIS-regulated systems are in scope. Agency-supplied values in brackets: {agencyName}, the owner role, and the per-system MFA state.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2026-06-01T15:29:11.476Z</dcterms:created>
  <dcterms:modified xsi:type="dcterms:W3CDTF">2026-06-01T15:29:11.476Z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