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p>
            <w:pPr>
              <w:spacing w:after="0"/>
            </w:pPr>
            <w:r>
              <w:rPr>
                <w:rFonts w:ascii="Aptos" w:cs="Aptos" w:eastAsia="Aptos" w:hAnsi="Aptos"/>
                <w:i/>
                <w:iCs/>
                <w:color w:val="595959"/>
                <w:sz w:val="24"/>
                <w:szCs w:val="24"/>
              </w:rPr>
              <w:t xml:space="preserve">«Minimum for Policy artifacts. The / CJIS marker is appended because remote access reaches systems governed through IDACS. Remove that marker and the CJIS Handling Addendum below if the Agency does not provide remote access to CJIS-regulated data from outside its network.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policy sets who may connect to Agency systems from outside the Agency network, through what methods, and under what conditions, so remote access does not become an unguarded way into 9-1-1 systems.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body director-readable. Specific VPN settings, ciphers, idle-timeout values, and device-hardening parameters belong in the VPN / Remote Access Configuration Records, not in this policy.</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pPr>
      <w:r>
        <w:rPr>
          <w:rFonts w:ascii="Aptos" w:cs="Aptos" w:eastAsia="Aptos" w:hAnsi="Aptos"/>
          <w:sz w:val="24"/>
          <w:szCs w:val="24"/>
        </w:rPr>
        <w:t xml:space="preserve">This policy governs remote access to Agency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spacing w:before="220" w:after="100"/>
      </w:pPr>
      <w:r>
        <w:rPr>
          <w:rFonts w:ascii="Aptos" w:cs="Aptos" w:eastAsia="Aptos" w:hAnsi="Aptos"/>
          <w:b/>
          <w:bCs/>
          <w:color w:val="1B3A5C"/>
          <w:sz w:val="26"/>
          <w:szCs w:val="26"/>
        </w:rPr>
        <w:t xml:space="preserve">2. Scope</w:t>
      </w:r>
    </w:p>
    <w:p>
      <w:pPr>
        <w:spacing w:after="120"/>
      </w:pPr>
      <w:r>
        <w:rPr>
          <w:rFonts w:ascii="Aptos" w:cs="Aptos" w:eastAsia="Aptos" w:hAnsi="Aptos"/>
          <w:i/>
          <w:iCs/>
          <w:color w:val="595959"/>
          <w:sz w:val="24"/>
          <w:szCs w:val="24"/>
        </w:rPr>
        <w:t xml:space="preserve">«Who and what the policy covers, and what it excludes. State exclusions explicitly.»</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Agency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governed by the Access Control Policy; public information systems holding no Agency or CJIS data, if any.</w:t>
      </w:r>
    </w:p>
    <w:p>
      <w:pPr>
        <w:spacing w:before="220" w:after="100"/>
      </w:pPr>
      <w:r>
        <w:rPr>
          <w:rFonts w:ascii="Aptos" w:cs="Aptos" w:eastAsia="Aptos" w:hAnsi="Aptos"/>
          <w:b/>
          <w:bCs/>
          <w:color w:val="1B3A5C"/>
          <w:sz w:val="26"/>
          <w:szCs w:val="26"/>
        </w:rPr>
        <w:t xml:space="preserve">3. Definitions</w:t>
      </w:r>
    </w:p>
    <w:p>
      <w:pPr>
        <w:spacing w:after="120"/>
      </w:pPr>
      <w:r>
        <w:rPr>
          <w:rFonts w:ascii="Aptos" w:cs="Aptos" w:eastAsia="Aptos" w:hAnsi="Aptos"/>
          <w:i/>
          <w:iCs/>
          <w:color w:val="595959"/>
          <w:sz w:val="24"/>
          <w:szCs w:val="24"/>
        </w:rPr>
        <w:t xml:space="preserve">«Optional. Include only terms used with a narrower meaning than common usage. Delete this section if not needed.»</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spacing w:before="220" w:after="100"/>
      </w:pPr>
      <w:r>
        <w:rPr>
          <w:rFonts w:ascii="Aptos" w:cs="Aptos" w:eastAsia="Aptos" w:hAnsi="Aptos"/>
          <w:b/>
          <w:bCs/>
          <w:color w:val="1B3A5C"/>
          <w:sz w:val="26"/>
          <w:szCs w:val="26"/>
        </w:rPr>
        <w:t xml:space="preserve">4. Policy Statement</w:t>
      </w:r>
    </w:p>
    <w:p>
      <w:pPr>
        <w:spacing w:after="12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spacing w:after="80"/>
      </w:pPr>
      <w:r>
        <w:rPr>
          <w:rFonts w:ascii="Aptos" w:cs="Aptos" w:eastAsia="Aptos" w:hAnsi="Aptos"/>
          <w:sz w:val="24"/>
          <w:szCs w:val="24"/>
        </w:rPr>
        <w:t xml:space="preserve">1. Remote access is granted only to named, authorized accounts, on the principle of least privilege, and only through approved remote-access methods.</w:t>
      </w:r>
    </w:p>
    <w:p>
      <w:pPr>
        <w:spacing w:after="80"/>
      </w:pPr>
      <w:r>
        <w:rPr>
          <w:rFonts w:ascii="Aptos" w:cs="Aptos" w:eastAsia="Aptos" w:hAnsi="Aptos"/>
          <w:sz w:val="24"/>
          <w:szCs w:val="24"/>
        </w:rPr>
        <w:t xml:space="preserve">2. Multifactor authentication is required for every remote session, for both privileged and non-privileged accounts.</w:t>
      </w:r>
    </w:p>
    <w:p>
      <w:pPr>
        <w:spacing w:after="80"/>
      </w:pPr>
      <w:r>
        <w:rPr>
          <w:rFonts w:ascii="Aptos" w:cs="Aptos" w:eastAsia="Aptos" w:hAnsi="Aptos"/>
          <w:sz w:val="24"/>
          <w:szCs w:val="24"/>
        </w:rPr>
        <w:t xml:space="preserve">3. Remote connections use only Agency-approved methods (VPN, virtual desktop, secure shell). Administrative interfaces are not exposed directly to the public internet.</w:t>
      </w:r>
    </w:p>
    <w:p>
      <w:pPr>
        <w:spacing w:after="80"/>
      </w:pPr>
      <w:r>
        <w:rPr>
          <w:rFonts w:ascii="Aptos" w:cs="Aptos" w:eastAsia="Aptos" w:hAnsi="Aptos"/>
          <w:sz w:val="24"/>
          <w:szCs w:val="24"/>
        </w:rPr>
        <w:t xml:space="preserve">4. Devices used for remote access meet the Agency’s minimum security conditions (current patches, endpoint protection, disk encryption) before they connect. [Define approved device types.]</w:t>
      </w:r>
    </w:p>
    <w:p>
      <w:pPr>
        <w:spacing w:after="80"/>
      </w:pPr>
      <w:r>
        <w:rPr>
          <w:rFonts w:ascii="Aptos" w:cs="Aptos" w:eastAsia="Aptos" w:hAnsi="Aptos"/>
          <w:sz w:val="24"/>
          <w:szCs w:val="24"/>
        </w:rPr>
        <w:t xml:space="preserve">5. Remote access may be limited by time window, location, or source network where a role does not require always-on access.</w:t>
      </w:r>
    </w:p>
    <w:p>
      <w:pPr>
        <w:spacing w:after="80"/>
      </w:pPr>
      <w:r>
        <w:rPr>
          <w:rFonts w:ascii="Aptos" w:cs="Aptos" w:eastAsia="Aptos" w:hAnsi="Aptos"/>
          <w:sz w:val="24"/>
          <w:szCs w:val="24"/>
        </w:rPr>
        <w:t xml:space="preserve">6. Remote sessions are logged. Session activity is monitored, sessions lock on idle, and they terminate on disconnect or after [a set period].</w:t>
      </w:r>
    </w:p>
    <w:p>
      <w:pPr>
        <w:spacing w:after="80"/>
      </w:pPr>
      <w:r>
        <w:rPr>
          <w:rFonts w:ascii="Aptos" w:cs="Aptos" w:eastAsia="Aptos" w:hAnsi="Aptos"/>
          <w:sz w:val="24"/>
          <w:szCs w:val="24"/>
        </w:rPr>
        <w:t xml:space="preserve">7. Vendor and third-party remote access is granted only for the scope and duration of an approved task, is scheduled or supervised, and is governed by a signed Third-Party Access Agreement.</w:t>
      </w:r>
    </w:p>
    <w:p>
      <w:pPr>
        <w:spacing w:after="80"/>
      </w:pPr>
      <w:r>
        <w:rPr>
          <w:rFonts w:ascii="Aptos" w:cs="Aptos" w:eastAsia="Aptos" w:hAnsi="Aptos"/>
          <w:sz w:val="24"/>
          <w:szCs w:val="24"/>
        </w:rPr>
        <w:t xml:space="preserve">8. Remote-access rights are reviewed on a defined cycle and revoked immediately on change of role, end of engagement, or suspected compromise.</w:t>
      </w:r>
    </w:p>
    <w:p>
      <w:pPr>
        <w:spacing w:after="80"/>
      </w:pPr>
      <w:r>
        <w:rPr>
          <w:rFonts w:ascii="Aptos" w:cs="Aptos" w:eastAsia="Aptos" w:hAnsi="Aptos"/>
          <w:sz w:val="24"/>
          <w:szCs w:val="24"/>
        </w:rPr>
        <w:t xml:space="preserve">9. Specific configuration values (approved clients, ciphers, idle-timeout length, split-tunneling rules) and their technical enforcement are recorded in the VPN / Remote Access Configuration Records and the Authorized Remote Device Register, not in this policy.</w:t>
      </w:r>
    </w:p>
    <w:p>
      <w:pPr>
        <w:spacing w:after="80"/>
      </w:pPr>
      <w:r>
        <w:rPr>
          <w:rFonts w:ascii="Aptos" w:cs="Aptos" w:eastAsia="Aptos" w:hAnsi="Aptos"/>
          <w:sz w:val="24"/>
          <w:szCs w:val="24"/>
        </w:rPr>
        <w:t xml:space="preserve">10. Remote access to systems reached through IDACS is governed in addition by the CJIS Handling Addendum below.</w:t>
      </w:r>
    </w:p>
    <w:p>
      <w:pPr>
        <w:spacing w:before="220" w:after="100"/>
      </w:pPr>
      <w:r>
        <w:rPr>
          <w:rFonts w:ascii="Aptos" w:cs="Aptos" w:eastAsia="Aptos" w:hAnsi="Aptos"/>
          <w:b/>
          <w:bCs/>
          <w:color w:val="1B3A5C"/>
          <w:sz w:val="26"/>
          <w:szCs w:val="26"/>
        </w:rPr>
        <w:t xml:space="preserve">5. Roles &amp; Responsibilities</w:t>
      </w:r>
    </w:p>
    <w:p>
      <w:pPr>
        <w:spacing w:after="12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spacing w:before="220" w:after="100"/>
      </w:pPr>
      <w:r>
        <w:rPr>
          <w:rFonts w:ascii="Aptos" w:cs="Aptos" w:eastAsia="Aptos" w:hAnsi="Aptos"/>
          <w:b/>
          <w:bCs/>
          <w:color w:val="1B3A5C"/>
          <w:sz w:val="26"/>
          <w:szCs w:val="26"/>
        </w:rPr>
        <w:t xml:space="preserve">6. Enforcement</w:t>
      </w:r>
    </w:p>
    <w:p>
      <w:pPr>
        <w:spacing w:after="12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pPr>
      <w:r>
        <w:rPr>
          <w:rFonts w:ascii="Aptos" w:cs="Aptos" w:eastAsia="Aptos" w:hAnsi="Aptos"/>
          <w:sz w:val="24"/>
          <w:szCs w:val="24"/>
        </w:rPr>
        <w:t xml:space="preserve">The {directorName} monitors compliance through periodic account and session-log reviews. Remote access that violates this policy is suspended or revoked, and repeated violations are handled under the Agency’s corrective process.</w:t>
      </w:r>
    </w:p>
    <w:p>
      <w:pPr>
        <w:spacing w:before="220" w:after="100"/>
      </w:pPr>
      <w:r>
        <w:rPr>
          <w:rFonts w:ascii="Aptos" w:cs="Aptos" w:eastAsia="Aptos" w:hAnsi="Aptos"/>
          <w:b/>
          <w:bCs/>
          <w:color w:val="1B3A5C"/>
          <w:sz w:val="26"/>
          <w:szCs w:val="26"/>
        </w:rPr>
        <w:t xml:space="preserve">7. Exceptions</w:t>
      </w:r>
    </w:p>
    <w:p>
      <w:pPr>
        <w:spacing w:after="120"/>
      </w:pPr>
      <w:r>
        <w:rPr>
          <w:rFonts w:ascii="Aptos" w:cs="Aptos" w:eastAsia="Aptos" w:hAnsi="Aptos"/>
          <w:i/>
          <w:iCs/>
          <w:color w:val="595959"/>
          <w:sz w:val="24"/>
          <w:szCs w:val="24"/>
        </w:rPr>
        <w:t xml:space="preserve">«Who may grant an exception, how it is requested and recorded, and how long it lasts before review.»</w:t>
      </w:r>
    </w:p>
    <w:p>
      <w:pPr>
        <w:spacing w:after="120"/>
      </w:pPr>
      <w:r>
        <w:rPr>
          <w:rFonts w:ascii="Aptos" w:cs="Aptos" w:eastAsia="Aptos" w:hAnsi="Aptos"/>
          <w:sz w:val="24"/>
          <w:szCs w:val="24"/>
        </w:rPr>
        <w:t xml:space="preserve">Exceptions require written approval from the {directorName}, must state the system affected and any compensating control, and are recorded in the Risk / Finding Register with a target date. They expire after {period} unless renewed.</w:t>
      </w:r>
    </w:p>
    <w:p>
      <w:pPr>
        <w:spacing w:before="220" w:after="100"/>
      </w:pPr>
      <w:r>
        <w:rPr>
          <w:rFonts w:ascii="Aptos" w:cs="Aptos" w:eastAsia="Aptos" w:hAnsi="Aptos"/>
          <w:b/>
          <w:bCs/>
          <w:color w:val="1B3A5C"/>
          <w:sz w:val="26"/>
          <w:szCs w:val="26"/>
        </w:rPr>
        <w:t xml:space="preserve">8. Review Schedule</w:t>
      </w:r>
    </w:p>
    <w:p>
      <w:pPr>
        <w:spacing w:after="12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pPr>
      <w:r>
        <w:rPr>
          <w:rFonts w:ascii="Aptos" w:cs="Aptos" w:eastAsia="Aptos" w:hAnsi="Aptos"/>
          <w:sz w:val="24"/>
          <w:szCs w:val="24"/>
        </w:rPr>
        <w:t xml:space="preserve">This policy is reviewed at least annually and after any significant change to remote-access technology or methods, by the {ownerRole}.</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Adopt as written. Use one approved remote method (a reputable VPN or a vendor-provided secure tool) with MFA from a free authenticator app. The director keeps a short written list of who has remote access and what each vendor may reach, and reviews it twice a year.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enforces MFA and device checks through the directory where available. Route vendor sessions through a single approved gateway, and review remote accounts quarterly.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 enterprise remote-access or zero-trust gateway enforces device posture and MFA automatically. Vendor access runs through brokered, recorded sessions, and remote-session logs feed the SIEM.</w:t>
            </w:r>
          </w:p>
        </w:tc>
      </w:tr>
    </w:tbl>
    <w:p>
      <w:pPr>
        <w:spacing w:before="220" w:after="100"/>
      </w:pPr>
      <w:r>
        <w:rPr>
          <w:rFonts w:ascii="Aptos" w:cs="Aptos" w:eastAsia="Aptos" w:hAnsi="Aptos"/>
          <w:b/>
          <w:bCs/>
          <w:color w:val="1B3A5C"/>
          <w:sz w:val="26"/>
          <w:szCs w:val="26"/>
        </w:rPr>
        <w:t xml:space="preserve">CJIS Handling Addendum</w:t>
      </w:r>
    </w:p>
    <w:p>
      <w:pPr>
        <w:spacing w:after="120"/>
      </w:pPr>
      <w:r>
        <w:rPr>
          <w:rFonts w:ascii="Aptos" w:cs="Aptos" w:eastAsia="Aptos" w:hAnsi="Aptos"/>
          <w:i/>
          <w:iCs/>
          <w:color w:val="595959"/>
          <w:sz w:val="24"/>
          <w:szCs w:val="24"/>
        </w:rPr>
        <w:t xml:space="preserve">«Include only if remote access reaches CJIS-regulated data (in Indiana, via IDACS). Do not restate the CJIS Security Policy; reference it. Delete this addendum and the / CJIS marker if the Agency does not provide remote access to CJIS-regulated data from outside its network.»</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{approvingOfficialTitle}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{ownerRole2}</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is cited to §6.17 (Remote Access), §6.7.1 (Remote Access Device Security), and §6.6 (Inactive Sessions). The Internal / CJIS floor and the CJIS Handling Addendum apply only where the Agency provides remote access to CJIS-regulated data through IDACS from outside its network; if it does not, delete the addendum and drop the / CJIS marker, leaving Internal. Specific remote-access configuration values are kept out of the body and pushed to the VPN / Remote Access Configuration Records and the Authorized Remote Device Register per the director-readable rule. [Confirm the Agency’s approved remote-access methods and permitted device types.]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