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Logging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This Logging Policy stays Internal as a statement of intent and roles. If it is expanded to carry live logging configuration or detection logic, raise it to Restricted; that as-built detail belongs in the system configuration records, not in this policy.»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defines how {agencyName} generates, protects, reviews, and analyzes logs across its emergency communications systems. It sets what must be logged, who is responsible, and how long logs are kept, so the Agency can detect and investigate security events.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contractors responsible for operating, securing, or reviewing Agency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every system in scope of the Master Asset Inventory, including call handling, CAD, the ESInet connection, logging and recording systems, network infrastructure, and the endpoints and accounts that support them.</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[list any systems outside this policy.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Security-relevant event: any event that bears on the security of a system or its data, such as a login, an access to sensitive data, a configuration change, or an account change.</w:t>
      </w:r>
    </w:p>
    <w:p>
      <w:pPr>
        <w:pStyle w:val="Heading2"/>
        <w:spacing w:after="100" w:before="220"/>
      </w:pPr>
      <w:r>
        <w:rPr>
          <w:rFonts w:ascii="Aptos" w:cs="Aptos" w:eastAsia="Aptos" w:hAnsi="Aptos"/>
          <w:b/>
          <w:bCs/>
          <w:color w:val="1B3A5C"/>
          <w:sz w:val="26"/>
          <w:szCs w:val="26"/>
        </w:rPr>
        <w:t xml:space="preserve">4. Logging Requirements</w:t>
      </w:r>
    </w:p>
    <w:p>
      <w:pPr>
        <w:spacing w:after="140"/>
      </w:pPr>
      <w:r>
        <w:rPr>
          <w:rFonts w:ascii="Aptos" w:cs="Aptos" w:eastAsia="Aptos" w:hAnsi="Aptos"/>
          <w:i/>
          <w:iCs/>
          <w:color w:val="595959"/>
          <w:sz w:val="24"/>
          <w:szCs w:val="24"/>
        </w:rPr>
        <w:t xml:space="preserve">«The enforceable core, as numbered statements, plus the minimum event content and the logging depth expected at each system tier. Scope and tiers come from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enable logging on every system in scope, with logging depth scaled to the system’s criticality as ranked in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Critical systems, including call handling, CAD, the ESInet connection, and the systems that authenticate or administer them, shall log security-relevant events continuously.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set a minimum retention period for each log source and retain logs at least that long. Retention periods are recorded in the Log Retention Schedule.</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protect logs against alteration and deletion and shall restrict access to them.</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review logs on a defined cadence and analyze them for signs of compromise.</w:t>
      </w:r>
    </w:p>
    <w:p>
      <w:pPr>
        <w:pStyle w:val="ListParagraph"/>
        <w:numPr>
          <w:ilvl w:val="0"/>
          <w:numId w:val="3"/>
        </w:numPr>
        <w:spacing w:after="60"/>
      </w:pPr>
      <w:r>
        <w:rPr>
          <w:rFonts w:ascii="Aptos" w:cs="Aptos" w:eastAsia="Aptos" w:hAnsi="Aptos"/>
          <w:b w:val="false"/>
          <w:bCs w:val="false"/>
          <w:i w:val="false"/>
          <w:iCs w:val="false"/>
          <w:sz w:val="24"/>
          <w:szCs w:val="24"/>
        </w:rPr>
        <w:t xml:space="preserve">[Add Agency-specific requirements.]</w:t>
      </w:r>
    </w:p>
    <w:p>
      <w:pPr>
        <w:spacing w:after="120" w:before="0"/>
      </w:pPr>
      <w:r>
        <w:rPr>
          <w:rFonts w:ascii="Aptos" w:cs="Aptos" w:eastAsia="Aptos" w:hAnsi="Aptos"/>
          <w:b w:val="false"/>
          <w:bCs w:val="false"/>
          <w:i w:val="false"/>
          <w:iCs w:val="false"/>
          <w:sz w:val="24"/>
          <w:szCs w:val="24"/>
        </w:rPr>
        <w:t xml:space="preserve">Each log record captures, at a minimum:</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date and time, synchronized to a common time source;</w:t>
      </w:r>
    </w:p>
    <w:p>
      <w:pPr>
        <w:pStyle w:val="ListParagraph"/>
        <w:numPr>
          <w:ilvl w:val="0"/>
          <w:numId w:val="2"/>
        </w:numPr>
        <w:spacing w:after="60"/>
      </w:pPr>
      <w:r>
        <w:rPr>
          <w:rFonts w:ascii="Aptos" w:cs="Aptos" w:eastAsia="Aptos" w:hAnsi="Aptos"/>
          <w:b w:val="false"/>
          <w:bCs w:val="false"/>
          <w:i w:val="false"/>
          <w:iCs w:val="false"/>
          <w:sz w:val="24"/>
          <w:szCs w:val="24"/>
        </w:rPr>
        <w:t xml:space="preserve">the user or system account involved;</w:t>
      </w:r>
    </w:p>
    <w:p>
      <w:pPr>
        <w:pStyle w:val="ListParagraph"/>
        <w:numPr>
          <w:ilvl w:val="0"/>
          <w:numId w:val="2"/>
        </w:numPr>
        <w:spacing w:after="60"/>
      </w:pPr>
      <w:r>
        <w:rPr>
          <w:rFonts w:ascii="Aptos" w:cs="Aptos" w:eastAsia="Aptos" w:hAnsi="Aptos"/>
          <w:b w:val="false"/>
          <w:bCs w:val="false"/>
          <w:i w:val="false"/>
          <w:iCs w:val="false"/>
          <w:sz w:val="24"/>
          <w:szCs w:val="24"/>
        </w:rPr>
        <w:t xml:space="preserve">the event type and the system or data affected;</w:t>
      </w:r>
    </w:p>
    <w:p>
      <w:pPr>
        <w:pStyle w:val="ListParagraph"/>
        <w:numPr>
          <w:ilvl w:val="0"/>
          <w:numId w:val="2"/>
        </w:numPr>
        <w:spacing w:after="60"/>
      </w:pPr>
      <w:r>
        <w:rPr>
          <w:rFonts w:ascii="Aptos" w:cs="Aptos" w:eastAsia="Aptos" w:hAnsi="Aptos"/>
          <w:b w:val="false"/>
          <w:bCs w:val="false"/>
          <w:i w:val="false"/>
          <w:iCs w:val="false"/>
          <w:sz w:val="24"/>
          <w:szCs w:val="24"/>
        </w:rPr>
        <w:t xml:space="preserve">whether the action succeeded or failed;</w:t>
      </w:r>
    </w:p>
    <w:p>
      <w:pPr>
        <w:pStyle w:val="ListParagraph"/>
        <w:numPr>
          <w:ilvl w:val="0"/>
          <w:numId w:val="2"/>
        </w:numPr>
        <w:spacing w:after="60"/>
      </w:pPr>
      <w:r>
        <w:rPr>
          <w:rFonts w:ascii="Aptos" w:cs="Aptos" w:eastAsia="Aptos" w:hAnsi="Aptos"/>
          <w:b w:val="false"/>
          <w:bCs w:val="false"/>
          <w:i w:val="false"/>
          <w:iCs w:val="false"/>
          <w:sz w:val="24"/>
          <w:szCs w:val="24"/>
        </w:rPr>
        <w:t xml:space="preserve">the source of the action, such as host or network address, where the system records it.</w:t>
      </w:r>
    </w:p>
    <w:p>
      <w:pPr>
        <w:spacing w:after="120" w:before="0"/>
      </w:pPr>
      <w:r>
        <w:rPr>
          <w:rFonts w:ascii="Aptos" w:cs="Aptos" w:eastAsia="Aptos" w:hAnsi="Aptos"/>
          <w:b w:val="false"/>
          <w:bCs w:val="false"/>
          <w:i w:val="false"/>
          <w:iCs w:val="false"/>
          <w:sz w:val="24"/>
          <w:szCs w:val="24"/>
        </w:rPr>
        <w:t xml:space="preserve">Logging depth is scaled to each system’s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tier</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logging expectation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(call handling, CAD, ESInet, authentication/admin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logging of security-relevant events; retained per the Log Retention Schedule; reviewed on the defined cadence and after any incident.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(supporting servers, network infrastructure, endpoints with sensitive access)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of access, account, and configuration changes; retained per schedule; reviewed periodically.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 (low-sensitivity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where available; reviewed on event or exception.</w:t>
            </w:r>
          </w:p>
        </w:tc>
      </w:tr>
    </w:tbl>
    <w:p>
      <w:pPr>
        <w:pStyle w:val="Heading2"/>
        <w:spacing w:after="100" w:before="220"/>
      </w:pPr>
      <w:r>
        <w:rPr>
          <w:rFonts w:ascii="Aptos" w:cs="Aptos" w:eastAsia="Aptos" w:hAnsi="Aptos"/>
          <w:b/>
          <w:bCs/>
          <w:color w:val="1B3A5C"/>
          <w:sz w:val="26"/>
          <w:szCs w:val="26"/>
        </w:rPr>
        <w:t xml:space="preserve">5. Log Protection &amp; Integrity</w:t>
      </w:r>
    </w:p>
    <w:p>
      <w:pPr>
        <w:spacing w:after="140"/>
      </w:pPr>
      <w:r>
        <w:rPr>
          <w:rFonts w:ascii="Aptos" w:cs="Aptos" w:eastAsia="Aptos" w:hAnsi="Aptos"/>
          <w:i/>
          <w:iCs/>
          <w:color w:val="595959"/>
          <w:sz w:val="24"/>
          <w:szCs w:val="24"/>
        </w:rPr>
        <w:t xml:space="preserve">«How logs are kept trustworthy. Name the intent; the verification method lives in the Log Integrity Verification Procedures.»</w:t>
      </w:r>
    </w:p>
    <w:p>
      <w:pPr>
        <w:spacing w:after="120" w:before="0"/>
      </w:pPr>
      <w:r>
        <w:rPr>
          <w:rFonts w:ascii="Aptos" w:cs="Aptos" w:eastAsia="Aptos" w:hAnsi="Aptos"/>
          <w:b w:val="false"/>
          <w:bCs w:val="false"/>
          <w:i w:val="false"/>
          <w:iCs w:val="false"/>
          <w:sz w:val="24"/>
          <w:szCs w:val="24"/>
        </w:rPr>
        <w:t xml:space="preserve">Logs are stored so they cannot be altered or deleted by ordinary users. The Agency restricts log access to assigned roles and, where the system supports it, writes logs to protected or write-once storage. The methods used to verify log integrity are defined in the Log Integrity Verification Procedures.</w:t>
      </w:r>
    </w:p>
    <w:p>
      <w:pPr>
        <w:pStyle w:val="Heading2"/>
        <w:spacing w:after="100" w:before="220"/>
      </w:pPr>
      <w:r>
        <w:rPr>
          <w:rFonts w:ascii="Aptos" w:cs="Aptos" w:eastAsia="Aptos" w:hAnsi="Aptos"/>
          <w:b/>
          <w:bCs/>
          <w:color w:val="1B3A5C"/>
          <w:sz w:val="26"/>
          <w:szCs w:val="26"/>
        </w:rPr>
        <w:t xml:space="preserve">6.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and confirms every in-scope system has assigned owners for the four logging duties: generate, protect, review, and analyze.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Generates logs by configuring logging on in-scope systems, and protects them by securing storage and restricting access.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 log reviewer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on the defined cadence and analyzes them for signs of compromise; escalates findings under the Incident Response Plan.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 data owners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their systems are in scope and logging at the required depth.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disable or tamper with logging.</w:t>
            </w:r>
          </w:p>
        </w:tc>
      </w:tr>
    </w:tbl>
    <w:p>
      <w:pPr>
        <w:pStyle w:val="Heading2"/>
        <w:spacing w:after="100" w:before="220"/>
      </w:pPr>
      <w:r>
        <w:rPr>
          <w:rFonts w:ascii="Aptos" w:cs="Aptos" w:eastAsia="Aptos" w:hAnsi="Aptos"/>
          <w:b/>
          <w:bCs/>
          <w:color w:val="1B3A5C"/>
          <w:sz w:val="26"/>
          <w:szCs w:val="26"/>
        </w:rPr>
        <w:t xml:space="preserve">7.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Compliance is checked through periodic review of logging configuration and review records. A gap is recorded as a finding and tracked to closure. Repeated failure to log or review is handled under the Agency’s corrective process.</w:t>
      </w:r>
    </w:p>
    <w:p>
      <w:pPr>
        <w:pStyle w:val="Heading2"/>
        <w:spacing w:after="100" w:before="220"/>
      </w:pPr>
      <w:r>
        <w:rPr>
          <w:rFonts w:ascii="Aptos" w:cs="Aptos" w:eastAsia="Aptos" w:hAnsi="Aptos"/>
          <w:b/>
          <w:bCs/>
          <w:color w:val="1B3A5C"/>
          <w:sz w:val="26"/>
          <w:szCs w:val="26"/>
        </w:rPr>
        <w:t xml:space="preserve">8.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{directorName} may grant a written exception where a system cannot meet a requirement, stating the compensating measure, who approved it, and an expiry date, reviewed at least annually.</w:t>
      </w:r>
    </w:p>
    <w:p>
      <w:pPr>
        <w:pStyle w:val="Heading2"/>
        <w:spacing w:after="100" w:before="220"/>
      </w:pPr>
      <w:r>
        <w:rPr>
          <w:rFonts w:ascii="Aptos" w:cs="Aptos" w:eastAsia="Aptos" w:hAnsi="Aptos"/>
          <w:b/>
          <w:bCs/>
          <w:color w:val="1B3A5C"/>
          <w:sz w:val="26"/>
          <w:szCs w:val="26"/>
        </w:rPr>
        <w:t xml:space="preserve">9.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Agency systems or applicable law,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Turn on built-in logging for the call-handling system, CAD, and the firewall, and keep logs for the minimum period the vendor supports. The director or county IT reviews logs on a set monthly date and after any incident. A SIEM is not required; manual review is enough at this size.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centralizes logs from the main systems and a named reviewer checks them weekly. Add a basic log-collection tool as volume grows.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Logs from all in-scope systems feed a central monitoring system. A security analyst reviews and tunes detections, and log integrity is verified automatically.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For systems carrying CJIS-regulated data, reached in Indiana through IDACS, apply CJIS Security Policy v5.9 §5.4 (Auditing and Accountability) in addition to the requirements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§5.6, §5.6.1, §5.6.2, §5.6.3</w:t>
            </w:r>
          </w:p>
          <w:p>
            <w:r>
              <w:rPr>
                <w:rFonts w:ascii="Aptos" w:cs="Aptos" w:eastAsia="Aptos" w:hAnsi="Aptos"/>
                <w:sz w:val="24"/>
                <w:szCs w:val="24"/>
              </w:rPr>
              <w:t xml:space="preserve">NIST SP 800-53 Rev. 5: AU-2, AU-3, AU-6, AU-9, AU-11, AU-12</w:t>
            </w:r>
          </w:p>
          <w:p>
            <w:r>
              <w:rPr>
                <w:rFonts w:ascii="Aptos" w:cs="Aptos" w:eastAsia="Aptos" w:hAnsi="Aptos"/>
                <w:sz w:val="24"/>
                <w:szCs w:val="24"/>
              </w:rPr>
              <w:t xml:space="preserve">CJIS Security Policy v5.9: §5.4 (Auditing and Accountability;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(internal, delete before publishing)</w:t>
            </w:r>
          </w:p>
          <w:p>
            <w:r>
              <w:rPr>
                <w:rFonts w:ascii="Aptos" w:cs="Aptos" w:eastAsia="Aptos" w:hAnsi="Aptos"/>
                <w:sz w:val="24"/>
                <w:szCs w:val="24"/>
              </w:rPr>
              <w:t xml:space="preserve">Confirm the in-scope systems and criticality tiers from the Master Asset Inventory and Asset Criticality Ranking Matrix (Section 4).</w:t>
            </w:r>
          </w:p>
          <w:p>
            <w:r>
              <w:rPr>
                <w:rFonts w:ascii="Aptos" w:cs="Aptos" w:eastAsia="Aptos" w:hAnsi="Aptos"/>
                <w:sz w:val="24"/>
                <w:szCs w:val="24"/>
              </w:rPr>
              <w:t xml:space="preserve">Confirm minimum retention periods per log source with the Log Retention Schedule.</w:t>
            </w:r>
          </w:p>
          <w:p>
            <w:r>
              <w:rPr>
                <w:rFonts w:ascii="Aptos" w:cs="Aptos" w:eastAsia="Aptos" w:hAnsi="Aptos"/>
                <w:sz w:val="24"/>
                <w:szCs w:val="24"/>
              </w:rPr>
              <w:t xml:space="preserve">Confirm which role performs log review and analysis (Section 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