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Third-Party Risk Assessment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Cover</w:t>
            </w:r>
          </w:p>
          <w:p>
            <w:pPr>
              <w:spacing w:after="60"/>
            </w:pPr>
            <w:r>
              <w:rPr>
                <w:rFonts w:ascii="Aptos" w:cs="Aptos" w:eastAsia="Aptos" w:hAnsi="Aptos"/>
                <w:b/>
                <w:bCs/>
                <w:sz w:val="24"/>
                <w:szCs w:val="24"/>
              </w:rPr>
              <w:t xml:space="preserve">Assessment date: </w:t>
            </w:r>
            <w:r>
              <w:rPr>
                <w:rFonts w:ascii="Aptos" w:cs="Aptos" w:eastAsia="Aptos" w:hAnsi="Aptos"/>
                <w:sz w:val="24"/>
                <w:szCs w:val="24"/>
              </w:rPr>
              <w:t xml:space="preserve">{effectiveDate}</w:t>
            </w:r>
            <w:r>
              <w:rPr>
                <w:rFonts w:ascii="Aptos" w:cs="Aptos" w:eastAsia="Aptos" w:hAnsi="Aptos"/>
                <w:b/>
                <w:bCs/>
                <w:sz w:val="24"/>
                <w:szCs w:val="24"/>
              </w:rPr>
              <w:t xml:space="preserve">      Assessor (role): </w:t>
            </w:r>
            <w:r>
              <w:rPr>
                <w:rFonts w:ascii="Aptos" w:cs="Aptos" w:eastAsia="Aptos" w:hAnsi="Aptos"/>
                <w:sz w:val="24"/>
                <w:szCs w:val="24"/>
              </w:rPr>
              <w:t xml:space="preserve">{roleInternalOrIndependentReviewer}</w:t>
            </w:r>
          </w:p>
          <w:p>
            <w:pPr>
              <w:spacing w:after="60"/>
            </w:pPr>
            <w:r>
              <w:rPr>
                <w:rFonts w:ascii="Aptos" w:cs="Aptos" w:eastAsia="Aptos" w:hAnsi="Aptos"/>
                <w:b/>
                <w:bCs/>
                <w:sz w:val="24"/>
                <w:szCs w:val="24"/>
              </w:rPr>
              <w:t xml:space="preserve">Scope: </w:t>
            </w:r>
            <w:r>
              <w:rPr>
                <w:rFonts w:ascii="Aptos" w:cs="Aptos" w:eastAsia="Aptos" w:hAnsi="Aptos"/>
                <w:sz w:val="24"/>
                <w:szCs w:val="24"/>
              </w:rPr>
              <w:t xml:space="preserve">{providersAndAssessmentPeriod}</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{reviewerRole}</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Restricted</w:t>
            </w:r>
          </w:p>
          <w:p>
            <w:pPr>
              <w:spacing w:after="60"/>
            </w:pPr>
            <w:r>
              <w:rPr>
                <w:rFonts w:ascii="Aptos" w:cs="Aptos" w:eastAsia="Aptos" w:hAnsi="Aptos"/>
                <w:i/>
                <w:iCs/>
                <w:color w:val="595959"/>
                <w:sz w:val="24"/>
                <w:szCs w:val="24"/>
              </w:rPr>
              <w:t xml:space="preserve">« Minimum for this artifact: vendor findings and risk ratings aid an attacker. Your agency may raise but not lower it.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Executive Summary</w:t>
      </w:r>
    </w:p>
    <w:p>
      <w:pPr>
        <w:spacing w:after="140"/>
      </w:pPr>
      <w:r>
        <w:rPr>
          <w:rFonts w:ascii="Aptos" w:cs="Aptos" w:eastAsia="Aptos" w:hAnsi="Aptos"/>
          <w:i/>
          <w:iCs/>
          <w:color w:val="595959"/>
          <w:sz w:val="24"/>
          <w:szCs w:val="24"/>
        </w:rPr>
        <w:t xml:space="preserve">«Three or four sentences a director can act on: what was assessed, the headline result, the most important finding. Write this last.»</w:t>
      </w:r>
    </w:p>
    <w:p>
      <w:pPr>
        <w:spacing w:after="120" w:before="0"/>
      </w:pPr>
      <w:r>
        <w:rPr>
          <w:rFonts w:ascii="Aptos" w:cs="Aptos" w:eastAsia="Aptos" w:hAnsi="Aptos"/>
          <w:sz w:val="24"/>
          <w:szCs w:val="24"/>
        </w:rPr>
        <w:t xml:space="preserve">This record documents the security assessments completed for the Agency’s hosted and managed service providers, the risk rating assigned to each, and the mitigations and monitoring in place. Findings that require Agency action are mirrored into the Risk / Finding Register (POA&amp;M) and are not duplicated here.</w:t>
      </w:r>
    </w:p>
    <w:p>
      <w:pPr>
        <w:pStyle w:val="Heading2"/>
        <w:spacing w:after="100" w:before="220"/>
      </w:pPr>
      <w:r>
        <w:rPr>
          <w:rFonts w:ascii="Aptos" w:cs="Aptos" w:eastAsia="Aptos" w:hAnsi="Aptos"/>
          <w:b/>
          <w:bCs/>
          <w:color w:val="1B3A5C"/>
          <w:sz w:val="26"/>
          <w:szCs w:val="26"/>
        </w:rPr>
        <w:t xml:space="preserve">2. Providers Assessed</w:t>
      </w:r>
    </w:p>
    <w:p>
      <w:pPr>
        <w:spacing w:after="140"/>
      </w:pPr>
      <w:r>
        <w:rPr>
          <w:rFonts w:ascii="Aptos" w:cs="Aptos" w:eastAsia="Aptos" w:hAnsi="Aptos"/>
          <w:i/>
          <w:iCs/>
          <w:color w:val="595959"/>
          <w:sz w:val="24"/>
          <w:szCs w:val="24"/>
        </w:rPr>
        <w:t xml:space="preserve">«One row per provider. Identify the service, where it is hosted, the data classification it handles, and the overall risk rating you assigned.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000"/>
        <w:gridCol w:w="1460"/>
        <w:gridCol w:w="1600"/>
      </w:tblGrid>
      <w:tr>
        <w:trPr>
          <w:tblHeader/>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Provider</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Service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Hosting model</w:t>
            </w:r>
          </w:p>
        </w:tc>
        <w:tc>
          <w:tcPr>
            <w:tcW w:type="dxa" w:w="14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Data classification handled</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Overall risk rating</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{vendorServiceType}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{onPremVendorCloudHybrid}</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{perDataClassificationPolicy}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{highMediumLow}</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{service}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{hosting}</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{classification}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{highMediumLow2}</w:t>
            </w:r>
          </w:p>
        </w:tc>
      </w:tr>
    </w:tbl>
    <w:p>
      <w:pPr>
        <w:pStyle w:val="Heading2"/>
        <w:spacing w:after="100" w:before="220"/>
      </w:pPr>
      <w:r>
        <w:rPr>
          <w:rFonts w:ascii="Aptos" w:cs="Aptos" w:eastAsia="Aptos" w:hAnsi="Aptos"/>
          <w:b/>
          <w:bCs/>
          <w:color w:val="1B3A5C"/>
          <w:sz w:val="26"/>
          <w:szCs w:val="26"/>
        </w:rPr>
        <w:t xml:space="preserve">3. Findings</w:t>
      </w:r>
    </w:p>
    <w:p>
      <w:pPr>
        <w:spacing w:after="140"/>
      </w:pPr>
      <w:r>
        <w:rPr>
          <w:rFonts w:ascii="Aptos" w:cs="Aptos" w:eastAsia="Aptos" w:hAnsi="Aptos"/>
          <w:i/>
          <w:iCs/>
          <w:color w:val="595959"/>
          <w:sz w:val="24"/>
          <w:szCs w:val="24"/>
        </w:rPr>
        <w:t xml:space="preserve">«One row per finding, tied to a provider. Use a consistent severity scale. Keep the recommendation specific and record the vendor’s committed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3800"/>
        <w:gridCol w:w="1400"/>
        <w:gridCol w:w="3160"/>
        <w:gridCol w:w="3160"/>
      </w:tblGrid>
      <w:tr>
        <w:trPr>
          <w:tblHeader/>
        </w:trPr>
        <w:tc>
          <w:tcPr>
            <w:tcW w:type="dxa" w:w="1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ID</w:t>
            </w:r>
          </w:p>
        </w:tc>
        <w:tc>
          <w:tcPr>
            <w:tcW w:type="dxa" w:w="3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Provider</w:t>
            </w:r>
          </w:p>
        </w:tc>
        <w:tc>
          <w:tcPr>
            <w:tcW w:type="dxa" w:w="3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Finding</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Severity</w:t>
            </w:r>
          </w:p>
        </w:tc>
        <w:tc>
          <w:tcPr>
            <w:tcW w:type="dxa" w:w="3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Recommendation</w:t>
            </w:r>
          </w:p>
        </w:tc>
        <w:tc>
          <w:tcPr>
            <w:tcW w:type="dxa" w:w="3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Vendor remediation commitment</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F-01</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{provider3}</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{finding}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{severityHml}</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{recommendation}</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{vendorCommittedFix}</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F-02</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{provider4}</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{finding2}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{severityHml2}</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{recommendation2}</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{vendorCommittedFix2}</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{provider5}</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[Add findings as needed.]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{vendorCommittedFix3}</w:t>
            </w:r>
          </w:p>
        </w:tc>
      </w:tr>
    </w:tbl>
    <w:p>
      <w:pPr>
        <w:pStyle w:val="Heading2"/>
        <w:spacing w:after="100" w:before="220"/>
      </w:pPr>
      <w:r>
        <w:rPr>
          <w:rFonts w:ascii="Aptos" w:cs="Aptos" w:eastAsia="Aptos" w:hAnsi="Aptos"/>
          <w:b/>
          <w:bCs/>
          <w:color w:val="1B3A5C"/>
          <w:sz w:val="26"/>
          <w:szCs w:val="26"/>
        </w:rPr>
        <w:t xml:space="preserve">4. Remediation Tracking</w:t>
      </w:r>
    </w:p>
    <w:p>
      <w:pPr>
        <w:spacing w:after="140"/>
      </w:pPr>
      <w:r>
        <w:rPr>
          <w:rFonts w:ascii="Aptos" w:cs="Aptos" w:eastAsia="Aptos" w:hAnsi="Aptos"/>
          <w:i/>
          <w:iCs/>
          <w:color w:val="595959"/>
          <w:sz w:val="24"/>
          <w:szCs w:val="24"/>
        </w:rPr>
        <w:t xml:space="preserve">«Each finding’s owner, action, due date, and status. Mirror open items into the Risk / Finding Register (POA&amp;M); do not maintain two trackers.»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000"/>
        <w:gridCol w:w="1460"/>
        <w:gridCol w:w="1600"/>
      </w:tblGrid>
      <w:tr>
        <w:trPr>
          <w:tblHeader/>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Finding ID</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Owner (role)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14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Due date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Status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F-01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{action}</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{statusOpen}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F-02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{action2}</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{statusOpen2}</w:t>
            </w:r>
          </w:p>
        </w:tc>
      </w:tr>
    </w:tbl>
    <w:p>
      <w:pPr>
        <w:pStyle w:val="Heading2"/>
        <w:spacing w:after="100" w:before="220"/>
      </w:pPr>
      <w:r>
        <w:rPr>
          <w:rFonts w:ascii="Aptos" w:cs="Aptos" w:eastAsia="Aptos" w:hAnsi="Aptos"/>
          <w:b/>
          <w:bCs/>
          <w:color w:val="1B3A5C"/>
          <w:sz w:val="26"/>
          <w:szCs w:val="26"/>
        </w:rPr>
        <w:t xml:space="preserve">5. Continuous Monitoring</w:t>
      </w:r>
    </w:p>
    <w:p>
      <w:pPr>
        <w:spacing w:after="140"/>
      </w:pPr>
      <w:r>
        <w:rPr>
          <w:rFonts w:ascii="Aptos" w:cs="Aptos" w:eastAsia="Aptos" w:hAnsi="Aptos"/>
          <w:i/>
          <w:iCs/>
          <w:color w:val="595959"/>
          <w:sz w:val="24"/>
          <w:szCs w:val="24"/>
        </w:rPr>
        <w:t xml:space="preserve">«State how each provider is monitored between assessments, how often, and when it was last checked. This is the ongoing-oversight evidence for continuous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000"/>
        <w:gridCol w:w="1460"/>
      </w:tblGrid>
      <w:tr>
        <w:trPr>
          <w:tblHeader/>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Provider</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Monitoring method</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Frequency</w:t>
            </w:r>
          </w:p>
        </w:tc>
        <w:tc>
          <w:tcPr>
            <w:tcW w:type="dxa" w:w="14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Last check</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{provider6}</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{monitoringMethod}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{continuousQuarterlyAnnual}</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{effectiveDate4}</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{provider7}</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{method}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{frequency}</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{effectiveDate5}</w:t>
            </w:r>
          </w:p>
        </w:tc>
      </w:tr>
    </w:tbl>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One or two providers (CAD, ESInet). A short written review per provider at onboarding and renewal, the vendor’s own security attestation on file, and a named point of contact. No tooling required.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Several providers. A questionnaire per provider (see the Vendor Security Assessment Questionnaire), a documented risk rating, and a review at renewal or after a vendor incident. Monitoring from vendor SOC reports and posture summaries.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formal third-party risk program: scheduled reassessments, independent evidence (SOC 2 or audit), a monitoring tool or service, and named ownership. Findings tracked to closure in the Risk / Finding Register.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add no padding.</w:t>
            </w:r>
          </w:p>
          <w:p>
            <w:pPr>
              <w:spacing w:after="40" w:before="0"/>
            </w:pPr>
            <w:r>
              <w:rPr>
                <w:rFonts w:ascii="Aptos" w:cs="Aptos" w:eastAsia="Aptos" w:hAnsi="Aptos"/>
                <w:b/>
                <w:bCs/>
                <w:i/>
                <w:iCs/>
                <w:sz w:val="24"/>
                <w:szCs w:val="24"/>
              </w:rPr>
              <w:t xml:space="preserve">NENA-STA-040.2-2024: §5.2, §5.6, §10</w:t>
            </w:r>
          </w:p>
          <w:p>
            <w:pPr>
              <w:spacing w:after="40" w:before="0"/>
            </w:pPr>
            <w:r>
              <w:rPr>
                <w:rFonts w:ascii="Aptos" w:cs="Aptos" w:eastAsia="Aptos" w:hAnsi="Aptos"/>
                <w:b/>
                <w:bCs/>
                <w:i/>
                <w:iCs/>
                <w:sz w:val="24"/>
                <w:szCs w:val="24"/>
              </w:rPr>
              <w:t xml:space="preserve">NIST SP 800-53 Rev. 5: CA-7, SA-9, SR-6</w:t>
            </w:r>
          </w:p>
          <w:p>
            <w:pPr>
              <w:spacing w:after="40" w:before="0"/>
            </w:pPr>
            <w:r>
              <w:rPr>
                <w:rFonts w:ascii="Aptos" w:cs="Aptos" w:eastAsia="Aptos" w:hAnsi="Aptos"/>
                <w:b/>
                <w:bCs/>
                <w:i/>
                <w:iCs/>
                <w:sz w:val="24"/>
                <w:szCs w:val="24"/>
              </w:rPr>
              <w:t xml:space="preserve">CJIS Security Policy v5.9: §5.1  (CJIS-regulated data in scope, where a provider handles it)</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{assessorRole}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{reviewedByRole}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{reviewerRole4}</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sz w:val="24"/>
                <w:szCs w:val="24"/>
              </w:rPr>
              <w:t xml:space="preserve">The overall risk rating sits in the Providers Assessed table; per-finding severity and the vendor’s committed fix sit in the Findings table; Agency-side remediation is tracked in Remediation Tracking. Continuous Monitoring records how each provider is watched between assessments. The vendor list and the blank questionnaire live in the Vendor &amp; Contractor Inventory and the Vendor Security Assessment Questionnaire and are not restated here.</w:t>
            </w:r>
          </w:p>
          <w:p>
            <w:pPr>
              <w:spacing w:after="140"/>
            </w:pPr>
            <w:r>
              <w:rPr>
                <w:rFonts w:ascii="Aptos" w:cs="Aptos" w:eastAsia="Aptos" w:hAnsi="Aptos"/>
                <w:i/>
                <w:iCs/>
                <w:sz w:val="24"/>
                <w:szCs w:val="24"/>
              </w:rPr>
              <w:t xml:space="preserve">If a provider handles CJIS-regulated data (reached in Indiana through IDACS), add the applicable CJIS Security Policy section to the Source Authority. Agency-supplied values in brackets: {agencyName}, assessor and owner roles, provider names, dates, risk ratings, findings, and monitoring methods.</w:t>
            </w:r>
          </w:p>
        </w:tc>
      </w:tr>
    </w:tbl>
    <w:sectPr>
      <w:headerReference w:type="default" r:id="rId7"/>
      <w:footerReference w:type="default" r:id="rId8"/>
      <w:headerReference w:type="first" r:id="rId10"/>
      <w:headerReference w:type="even"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2026-06-01T15:29:11.506Z</dcterms:created>
  <dcterms:modified xsi:type="dcterms:W3CDTF">2026-06-01T15:29:11.506Z</dcterms:modified>
</cp:coreProperties>
</file>

<file path=docProps/custom.xml><?xml version="1.0" encoding="utf-8"?>
<Properties xmlns="http://schemas.openxmlformats.org/officeDocument/2006/custom-properties" xmlns:vt="http://schemas.openxmlformats.org/officeDocument/2006/docPropsVTypes"/>
</file>