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Vulnerability Assessment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Cover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Assessment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{effectiveDate}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Assessor: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{roleInternalOrIndependentThirdParty}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Scope: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{systemsNetworkAndApplicationsAssessedPer}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Tool / methodology: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{toolMethodology}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{reviewerRole}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this artifact: assessment findings aid an attacker.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records what was assessed, the tools and methods used, and the findings by severity. Findings feed the Risk / Finding Register (POA&amp;M), where they are tracked to closure. [Summarize the headline result and the most significant findings in three or four sentences a director can act on.]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One row per finding. Use the same severity scale as the Risk Register (High / Medium / Low). Keep the recommendation specific.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{recommendation2}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Each finding's owner, action, due date, and status. Open items are mirrored into the Risk / Finding Register (POA&amp;M); this report feeds it, it does not replace it.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{statusOpen}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{action2}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basic vulnerability scan and a short written report may be all that is realistic in-house; the county or a vendor often runs it. Record the scope, tool, findings, and what was fixed, and carry open items to the finding register.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Regular authenticated scans with a written report, plus a periodic independent assessment. A security coordinator triages findings and tracks them in the finding register.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formal program: scheduled scans, an annual independent penetration test, and reports reviewed by system owners and an independent assessor, with findings tracked to closure.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CA-2, CA-8, RA-5, SI-2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{assessorRole}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{reviewerRole4}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 penetration test is issued as this same report, with its rules of engagement recorded in the Cover 'Tool / methodology' line; the independent-assessor requirement is captured in the 'Assessor' line. Findings feed the Risk / Finding Register (POA&amp;M) and are not duplicated here.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If an assessment covers systems that reach CJIS-regulated data (via IDACS), add the applicable CJIS Security Policy section to the Source Authority. Agency-supplied values in brackets: {agencyName}, assessor and owner roles, scope, tool, dates, and all findings.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