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Social Media &amp; External Communications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{signingOfficialTitle}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{version}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{effectiveDate}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{effectiveDate2}</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{roleTitle}   </w:t>
            </w:r>
            <w:r>
              <w:rPr>
                <w:rFonts w:ascii="Aptos" w:cs="Aptos" w:eastAsia="Aptos" w:hAnsi="Aptos"/>
                <w:b w:val="false"/>
                <w:bCs w:val="false"/>
                <w:i/>
                <w:iCs/>
                <w:color w:val="595959"/>
                <w:sz w:val="24"/>
                <w:szCs w:val="24"/>
              </w:rPr>
              <w:t xml:space="preserve">«use a role, not a person’s name.»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 xml:space="preserve">Internal</w:t>
            </w:r>
          </w:p>
          <w:p>
            <w:pPr>
              <w:spacing w:after="0"/>
            </w:pPr>
            <w:r>
              <w:rPr>
                <w:rFonts w:ascii="Aptos" w:cs="Aptos" w:eastAsia="Aptos" w:hAnsi="Aptos"/>
                <w:i/>
                <w:iCs/>
                <w:color w:val="595959"/>
                <w:sz w:val="24"/>
                <w:szCs w:val="24"/>
              </w:rPr>
              <w:t xml:space="preserve">«Minimum for Policy artifacts. Your agency may raise this but not lower it. Append “ / CJIS” if CJIS-regulated data is in scope. Raise to Restricted if this policy embeds specific operational configuration or response logic.»</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How to use this template </w:t>
            </w:r>
            <w:r>
              <w:rPr>
                <w:rFonts w:ascii="Aptos" w:cs="Aptos" w:eastAsia="Aptos" w:hAnsi="Aptos"/>
                <w:b w:val="false"/>
                <w:bCs w:val="false"/>
                <w:i/>
                <w:iCs/>
                <w:color w:val="595959"/>
                <w:sz w:val="24"/>
                <w:szCs w:val="24"/>
              </w:rPr>
              <w:t xml:space="preserve">(delete this box before publishing)</w:t>
            </w:r>
          </w:p>
          <w:p>
            <w:pPr>
              <w:spacing w:after="140"/>
            </w:pPr>
            <w:r>
              <w:rPr>
                <w:rFonts w:ascii="Aptos" w:cs="Aptos" w:eastAsia="Aptos" w:hAnsi="Aptos"/>
                <w:i/>
                <w:iCs/>
                <w:color w:val="595959"/>
                <w:sz w:val="24"/>
                <w:szCs w:val="24"/>
              </w:rPr>
              <w:t xml:space="preserve">This template is ready to adopt. Replace every [BRACKETED] field with your agency’s information, follow the « » guidance notes, and delete every « » note and this box before you publish.</w:t>
            </w:r>
          </w:p>
          <w:p>
            <w:pPr>
              <w:spacing w:after="0"/>
            </w:pPr>
            <w:r>
              <w:rPr>
                <w:rFonts w:ascii="Aptos" w:cs="Aptos" w:eastAsia="Aptos" w:hAnsi="Aptos"/>
                <w:b/>
                <w:bCs/>
                <w:i w:val="false"/>
                <w:iCs w:val="false"/>
                <w:sz w:val="24"/>
                <w:szCs w:val="24"/>
              </w:rPr>
              <w:t xml:space="preserve">Placeholder key: </w:t>
            </w:r>
            <w:r>
              <w:rPr>
                <w:rFonts w:ascii="Aptos" w:cs="Aptos" w:eastAsia="Aptos" w:hAnsi="Aptos"/>
                <w:b w:val="false"/>
                <w:bCs w:val="false"/>
                <w:i w:val="false"/>
                <w:iCs w:val="false"/>
                <w:sz w:val="24"/>
                <w:szCs w:val="24"/>
              </w:rPr>
              <w:t xml:space="preserve">[BRACKETED] = fill in   ·   </w:t>
            </w:r>
            <w:r>
              <w:rPr>
                <w:rFonts w:ascii="Aptos" w:cs="Aptos" w:eastAsia="Aptos" w:hAnsi="Aptos"/>
                <w:b/>
                <w:bCs/>
                <w:i w:val="false"/>
                <w:iCs w:val="false"/>
                <w:sz w:val="24"/>
                <w:szCs w:val="24"/>
              </w:rPr>
              <w:t xml:space="preserve">[REQUIRED]</w:t>
            </w:r>
            <w:r>
              <w:rPr>
                <w:rFonts w:ascii="Aptos" w:cs="Aptos" w:eastAsia="Aptos" w:hAnsi="Aptos"/>
                <w:b w:val="false"/>
                <w:bCs w:val="false"/>
                <w:i w:val="false"/>
                <w:iCs w:val="false"/>
                <w:sz w:val="24"/>
                <w:szCs w:val="24"/>
              </w:rPr>
              <w:t xml:space="preserve"> (bold) = required field   ·   </w:t>
            </w:r>
            <w:r>
              <w:rPr>
                <w:rFonts w:ascii="Aptos" w:cs="Aptos" w:eastAsia="Aptos" w:hAnsi="Aptos"/>
                <w:b w:val="false"/>
                <w:bCs w:val="false"/>
                <w:i/>
                <w:iCs/>
                <w:color w:val="595959"/>
                <w:sz w:val="24"/>
                <w:szCs w:val="24"/>
              </w:rPr>
              <w:t xml:space="preserve">« »</w:t>
            </w:r>
            <w:r>
              <w:rPr>
                <w:rFonts w:ascii="Aptos" w:cs="Aptos" w:eastAsia="Aptos" w:hAnsi="Aptos"/>
                <w:b w:val="false"/>
                <w:bCs w:val="false"/>
                <w:i w:val="false"/>
                <w:iCs w:val="false"/>
                <w:sz w:val="24"/>
                <w:szCs w:val="24"/>
              </w:rPr>
              <w:t xml:space="preserve"> = guidance to delete.</w:t>
            </w:r>
          </w:p>
          <w:p>
            <w:pPr>
              <w:spacing w:after="140"/>
            </w:pPr>
            <w:r>
              <w:rPr>
                <w:rFonts w:ascii="Aptos" w:cs="Aptos" w:eastAsia="Aptos" w:hAnsi="Aptos"/>
                <w:i/>
                <w:iCs/>
                <w:color w:val="595959"/>
                <w:sz w:val="24"/>
                <w:szCs w:val="24"/>
              </w:rPr>
              <w:t xml:space="preserve">Keep the body director-readable. Push technical detail and contact lists to an appendix. Source Authority, approval signatures, and revision history stay at the foot of the document.</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«Two or three sentences: what this policy governs and why the Agency maintains it. Name the outcome, not the activity.»</w:t>
      </w:r>
    </w:p>
    <w:p>
      <w:pPr>
        <w:spacing w:after="120" w:before="0"/>
      </w:pPr>
      <w:r>
        <w:rPr>
          <w:rFonts w:ascii="Aptos" w:cs="Aptos" w:eastAsia="Aptos" w:hAnsi="Aptos"/>
          <w:b w:val="false"/>
          <w:bCs w:val="false"/>
          <w:i w:val="false"/>
          <w:iCs w:val="false"/>
          <w:sz w:val="24"/>
          <w:szCs w:val="24"/>
        </w:rPr>
        <w:t xml:space="preserve">This policy sets the rules for how personnel use social media and other external communications in ways that could touch the Agency, its operations, or non-public information. It extends the Acceptable Use Policy to public-facing and personal communications, so personal use does not expose the Agency’s information, people, or reputation.</w:t>
      </w:r>
    </w:p>
    <w:p>
      <w:pPr>
        <w:pStyle w:val="Heading2"/>
        <w:spacing w:after="100" w:before="220"/>
      </w:pPr>
      <w:r>
        <w:rPr>
          <w:rFonts w:ascii="Aptos" w:cs="Aptos" w:eastAsia="Aptos" w:hAnsi="Aptos"/>
          <w:b/>
          <w:bCs/>
          <w:color w:val="1B3A5C"/>
          <w:sz w:val="26"/>
          <w:szCs w:val="26"/>
        </w:rPr>
        <w:t xml:space="preserve">2. Scope</w:t>
      </w:r>
    </w:p>
    <w:p>
      <w:pPr>
        <w:spacing w:after="140"/>
      </w:pPr>
      <w:r>
        <w:rPr>
          <w:rFonts w:ascii="Aptos" w:cs="Aptos" w:eastAsia="Aptos" w:hAnsi="Aptos"/>
          <w:i/>
          <w:iCs/>
          <w:color w:val="595959"/>
          <w:sz w:val="24"/>
          <w:szCs w:val="24"/>
        </w:rPr>
        <w:t xml:space="preserve">«Who and what the policy covers, and what it excludes. State exclusions explicitly.»</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all employees, contractors, and volunteers, on or off duty, when their communications identify or affect the Agency.</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personal and official use of social media, public posts and comments, messaging apps, and personal devices used to communicate about or connect to Agency systems or information.</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official public-information releases issued through the Agency’s designated spokesperson or PIO process, which follow their own approval path.</w:t>
      </w:r>
    </w:p>
    <w:p>
      <w:pPr>
        <w:pStyle w:val="Heading2"/>
        <w:spacing w:after="100" w:before="220"/>
      </w:pPr>
      <w:r>
        <w:rPr>
          <w:rFonts w:ascii="Aptos" w:cs="Aptos" w:eastAsia="Aptos" w:hAnsi="Aptos"/>
          <w:b/>
          <w:bCs/>
          <w:color w:val="1B3A5C"/>
          <w:sz w:val="26"/>
          <w:szCs w:val="26"/>
        </w:rPr>
        <w:t xml:space="preserve">3. Definitions</w:t>
      </w:r>
    </w:p>
    <w:p>
      <w:pPr>
        <w:spacing w:after="140"/>
      </w:pPr>
      <w:r>
        <w:rPr>
          <w:rFonts w:ascii="Aptos" w:cs="Aptos" w:eastAsia="Aptos" w:hAnsi="Aptos"/>
          <w:i/>
          <w:iCs/>
          <w:color w:val="595959"/>
          <w:sz w:val="24"/>
          <w:szCs w:val="24"/>
        </w:rPr>
        <w:t xml:space="preserve">«Optional. Include only terms this policy uses with a narrower meaning than common usage. Do not define common operational terms (CAD, RMS, ESInet, dispatcher). Delete this section if not needed.»</w:t>
      </w:r>
    </w:p>
    <w:p>
      <w:pPr>
        <w:spacing w:after="60"/>
      </w:pPr>
      <w:r>
        <w:rPr>
          <w:rFonts w:ascii="Aptos" w:cs="Aptos" w:eastAsia="Aptos" w:hAnsi="Aptos"/>
          <w:b/>
          <w:bCs/>
          <w:sz w:val="24"/>
          <w:szCs w:val="24"/>
        </w:rPr>
        <w:t xml:space="preserve">Non-public information: </w:t>
      </w:r>
      <w:r>
        <w:rPr>
          <w:rFonts w:ascii="Aptos" w:cs="Aptos" w:eastAsia="Aptos" w:hAnsi="Aptos"/>
          <w:b w:val="false"/>
          <w:bCs w:val="false"/>
          <w:i w:val="false"/>
          <w:iCs w:val="false"/>
          <w:sz w:val="24"/>
          <w:szCs w:val="24"/>
        </w:rPr>
        <w:t xml:space="preserve">Agency information not approved for public release, including operational detail, CAD or incident data, personnel information, and anything classified Internal, Restricted, or Confidential.</w:t>
      </w:r>
    </w:p>
    <w:p>
      <w:pPr>
        <w:spacing w:after="60"/>
      </w:pPr>
      <w:r>
        <w:rPr>
          <w:rFonts w:ascii="Aptos" w:cs="Aptos" w:eastAsia="Aptos" w:hAnsi="Aptos"/>
          <w:b/>
          <w:bCs/>
          <w:sz w:val="24"/>
          <w:szCs w:val="24"/>
        </w:rPr>
        <w:t xml:space="preserve">Official account: </w:t>
      </w:r>
      <w:r>
        <w:rPr>
          <w:rFonts w:ascii="Aptos" w:cs="Aptos" w:eastAsia="Aptos" w:hAnsi="Aptos"/>
          <w:b w:val="false"/>
          <w:bCs w:val="false"/>
          <w:i w:val="false"/>
          <w:iCs w:val="false"/>
          <w:sz w:val="24"/>
          <w:szCs w:val="24"/>
        </w:rPr>
        <w:t xml:space="preserve">a social-media or communications account the Agency owns and operates in its own name.</w:t>
      </w:r>
    </w:p>
    <w:p>
      <w:pPr>
        <w:spacing w:after="60"/>
      </w:pPr>
      <w:r>
        <w:rPr>
          <w:rFonts w:ascii="Aptos" w:cs="Aptos" w:eastAsia="Aptos" w:hAnsi="Aptos"/>
          <w:b/>
          <w:bCs/>
          <w:sz w:val="24"/>
          <w:szCs w:val="24"/>
        </w:rPr>
        <w:t xml:space="preserve">Personal account: </w:t>
      </w:r>
      <w:r>
        <w:rPr>
          <w:rFonts w:ascii="Aptos" w:cs="Aptos" w:eastAsia="Aptos" w:hAnsi="Aptos"/>
          <w:b w:val="false"/>
          <w:bCs w:val="false"/>
          <w:i w:val="false"/>
          <w:iCs w:val="false"/>
          <w:sz w:val="24"/>
          <w:szCs w:val="24"/>
        </w:rPr>
        <w:t xml:space="preserve">any account an individual holds in a personal capacity, even if it mentions or is associated with the Agency.</w:t>
      </w:r>
    </w:p>
    <w:p>
      <w:pPr>
        <w:pStyle w:val="Heading2"/>
        <w:spacing w:after="100" w:before="220"/>
      </w:pPr>
      <w:r>
        <w:rPr>
          <w:rFonts w:ascii="Aptos" w:cs="Aptos" w:eastAsia="Aptos" w:hAnsi="Aptos"/>
          <w:b/>
          <w:bCs/>
          <w:color w:val="1B3A5C"/>
          <w:sz w:val="26"/>
          <w:szCs w:val="26"/>
        </w:rPr>
        <w:t xml:space="preserve">4. Policy Statement</w:t>
      </w:r>
    </w:p>
    <w:p>
      <w:pPr>
        <w:spacing w:after="140"/>
      </w:pPr>
      <w:r>
        <w:rPr>
          <w:rFonts w:ascii="Aptos" w:cs="Aptos" w:eastAsia="Aptos" w:hAnsi="Aptos"/>
          <w:i/>
          <w:iCs/>
          <w:color w:val="595959"/>
          <w:sz w:val="24"/>
          <w:szCs w:val="24"/>
        </w:rPr>
        <w:t xml:space="preserve">«The enforceable core, as numbered statements. Use “The Agency shall…” / “Personnel are responsible for…”. One requirement per statement.»</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do not post non-public Agency information to any social media or external channel, in any form, including photos, screenshots, locations, or details of calls and operations.</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keep personal and Agency roles separate. A personal account does not speak for the Agency, and personnel make clear that personal views are their own.</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do not represent the Agency or issue statements on its behalf unless authorized through the Agency’s public-information process.</w:t>
      </w:r>
    </w:p>
    <w:p>
      <w:pPr>
        <w:pStyle w:val="ListParagraph"/>
        <w:numPr>
          <w:ilvl w:val="0"/>
          <w:numId w:val="3"/>
        </w:numPr>
        <w:spacing w:after="60"/>
      </w:pPr>
      <w:r>
        <w:rPr>
          <w:rFonts w:ascii="Aptos" w:cs="Aptos" w:eastAsia="Aptos" w:hAnsi="Aptos"/>
          <w:b w:val="false"/>
          <w:bCs w:val="false"/>
          <w:i w:val="false"/>
          <w:iCs w:val="false"/>
          <w:sz w:val="24"/>
          <w:szCs w:val="24"/>
        </w:rPr>
        <w:t xml:space="preserve">Personal devices used to access or communicate about Agency systems or information follow the Acceptable Use Policy, the Mobile Device Management (MDM) Policy, and the Remote Access Policy.</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do not connect personal devices to restricted Agency networks except as those policies allow.</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report any accidental disclosure of non-public information, and any online impersonation of or threat against the Agency or its staff, through the incident-reporting process.</w:t>
      </w:r>
    </w:p>
    <w:p>
      <w:pPr>
        <w:pStyle w:val="Heading2"/>
        <w:spacing w:after="100" w:before="220"/>
      </w:pPr>
      <w:r>
        <w:rPr>
          <w:rFonts w:ascii="Aptos" w:cs="Aptos" w:eastAsia="Aptos" w:hAnsi="Aptos"/>
          <w:b/>
          <w:bCs/>
          <w:color w:val="1B3A5C"/>
          <w:sz w:val="26"/>
          <w:szCs w:val="26"/>
        </w:rPr>
        <w:t xml:space="preserve">5. Roles &amp; Responsibilities</w:t>
      </w:r>
    </w:p>
    <w:p>
      <w:pPr>
        <w:spacing w:after="140"/>
      </w:pPr>
      <w:r>
        <w:rPr>
          <w:rFonts w:ascii="Aptos" w:cs="Aptos" w:eastAsia="Aptos" w:hAnsi="Aptos"/>
          <w:i/>
          <w:iCs/>
          <w:color w:val="595959"/>
          <w:sz w:val="24"/>
          <w:szCs w:val="24"/>
        </w:rPr>
        <w:t xml:space="preserve">«Each role that carries a duty under this policy and what it owns. Roles, not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{directorName}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Owns this policy, approves official accounts and spokespersons, and decides exceptions.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{itSupport}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Advises on technical controls for personal-device and network access, and supports investigation of online disclosures or impersonation.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{dispatchSupervisor}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Reinforces these rules on shift and is a first point of contact when a posting or disclosure concern arises.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{allPersonnel}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Follow these rules on and off duty, keep personal and Agency roles separate, and report disclosures or impersonation promptly.</w:t>
            </w:r>
          </w:p>
        </w:tc>
      </w:tr>
    </w:tbl>
    <w:p>
      <w:pPr>
        <w:pStyle w:val="Heading2"/>
        <w:spacing w:after="100" w:before="220"/>
      </w:pPr>
      <w:r>
        <w:rPr>
          <w:rFonts w:ascii="Aptos" w:cs="Aptos" w:eastAsia="Aptos" w:hAnsi="Aptos"/>
          <w:b/>
          <w:bCs/>
          <w:color w:val="1B3A5C"/>
          <w:sz w:val="26"/>
          <w:szCs w:val="26"/>
        </w:rPr>
        <w:t xml:space="preserve">6. Enforcement</w:t>
      </w:r>
    </w:p>
    <w:p>
      <w:pPr>
        <w:spacing w:after="140"/>
      </w:pPr>
      <w:r>
        <w:rPr>
          <w:rFonts w:ascii="Aptos" w:cs="Aptos" w:eastAsia="Aptos" w:hAnsi="Aptos"/>
          <w:i/>
          <w:iCs/>
          <w:color w:val="595959"/>
          <w:sz w:val="24"/>
          <w:szCs w:val="24"/>
        </w:rPr>
        <w:t xml:space="preserve">«How compliance is monitored and what happens on violation. Reference the Agency’s corrective process; do not restate it.»</w:t>
      </w:r>
    </w:p>
    <w:p>
      <w:pPr>
        <w:spacing w:after="120" w:before="0"/>
      </w:pPr>
      <w:r>
        <w:rPr>
          <w:rFonts w:ascii="Aptos" w:cs="Aptos" w:eastAsia="Aptos" w:hAnsi="Aptos"/>
          <w:b w:val="false"/>
          <w:bCs w:val="false"/>
          <w:i w:val="false"/>
          <w:iCs w:val="false"/>
          <w:sz w:val="24"/>
          <w:szCs w:val="24"/>
        </w:rPr>
        <w:t xml:space="preserve">The {directorName} monitors compliance. Violations are handled under the Acceptable Use Policy’s corrective process. A post that discloses non-public information or endangers staff or operations is treated as a security incident.</w:t>
      </w:r>
    </w:p>
    <w:p>
      <w:pPr>
        <w:pStyle w:val="Heading2"/>
        <w:spacing w:after="100" w:before="220"/>
      </w:pPr>
      <w:r>
        <w:rPr>
          <w:rFonts w:ascii="Aptos" w:cs="Aptos" w:eastAsia="Aptos" w:hAnsi="Aptos"/>
          <w:b/>
          <w:bCs/>
          <w:color w:val="1B3A5C"/>
          <w:sz w:val="26"/>
          <w:szCs w:val="26"/>
        </w:rPr>
        <w:t xml:space="preserve">7. Exceptions</w:t>
      </w:r>
    </w:p>
    <w:p>
      <w:pPr>
        <w:spacing w:after="140"/>
      </w:pPr>
      <w:r>
        <w:rPr>
          <w:rFonts w:ascii="Aptos" w:cs="Aptos" w:eastAsia="Aptos" w:hAnsi="Aptos"/>
          <w:i/>
          <w:iCs/>
          <w:color w:val="595959"/>
          <w:sz w:val="24"/>
          <w:szCs w:val="24"/>
        </w:rPr>
        <w:t xml:space="preserve">«Who may grant an exception, how it is requested and recorded, and how long it lasts before review.»</w:t>
      </w:r>
    </w:p>
    <w:p>
      <w:pPr>
        <w:spacing w:after="120" w:before="0"/>
      </w:pPr>
      <w:r>
        <w:rPr>
          <w:rFonts w:ascii="Aptos" w:cs="Aptos" w:eastAsia="Aptos" w:hAnsi="Aptos"/>
          <w:b w:val="false"/>
          <w:bCs w:val="false"/>
          <w:i w:val="false"/>
          <w:iCs w:val="false"/>
          <w:sz w:val="24"/>
          <w:szCs w:val="24"/>
        </w:rPr>
        <w:t xml:space="preserve">An exception, such as an approved outreach campaign or a designated account, is requested in writing, granted by the {directorName}, recorded with a scope and end date, and reviewed at least annually.</w:t>
      </w:r>
    </w:p>
    <w:p>
      <w:pPr>
        <w:pStyle w:val="Heading2"/>
        <w:spacing w:after="100" w:before="220"/>
      </w:pPr>
      <w:r>
        <w:rPr>
          <w:rFonts w:ascii="Aptos" w:cs="Aptos" w:eastAsia="Aptos" w:hAnsi="Aptos"/>
          <w:b/>
          <w:bCs/>
          <w:color w:val="1B3A5C"/>
          <w:sz w:val="26"/>
          <w:szCs w:val="26"/>
        </w:rPr>
        <w:t xml:space="preserve">8. Review Schedule</w:t>
      </w:r>
    </w:p>
    <w:p>
      <w:pPr>
        <w:spacing w:after="140"/>
      </w:pPr>
      <w:r>
        <w:rPr>
          <w:rFonts w:ascii="Aptos" w:cs="Aptos" w:eastAsia="Aptos" w:hAnsi="Aptos"/>
          <w:i/>
          <w:iCs/>
          <w:color w:val="595959"/>
          <w:sz w:val="24"/>
          <w:szCs w:val="24"/>
        </w:rPr>
        <w:t xml:space="preserve">«Review cadence and trigger events (annual at minimum; also on significant change). Name the owning role.»</w:t>
      </w:r>
    </w:p>
    <w:p>
      <w:pPr>
        <w:spacing w:after="120" w:before="0"/>
      </w:pPr>
      <w:r>
        <w:rPr>
          <w:rFonts w:ascii="Aptos" w:cs="Aptos" w:eastAsia="Aptos" w:hAnsi="Aptos"/>
          <w:b w:val="false"/>
          <w:bCs w:val="false"/>
          <w:i w:val="false"/>
          <w:iCs w:val="false"/>
          <w:sz w:val="24"/>
          <w:szCs w:val="24"/>
        </w:rPr>
        <w:t xml:space="preserve">This policy is reviewed at least annually and after any significant change, by the {ownerRole}.</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The director sets the rules in plain terms, covers them at hire and in periodic reminders, and approves any official account personally. With no PIO, the director is the Agency’s single voice.</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 designated coordinator manages official accounts and approves outreach. Reminders go out with other security messaging, and supervisors reinforce the rules on shift.</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 PIO or communications function owns official channels under this policy, with a documented approval path for posts, monitoring for impersonation, and role-based reminders.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140"/>
            </w:pPr>
            <w:r>
              <w:rPr>
                <w:rFonts w:ascii="Aptos" w:cs="Aptos" w:eastAsia="Aptos" w:hAnsi="Aptos"/>
                <w:i/>
                <w:iCs/>
                <w:color w:val="595959"/>
                <w:sz w:val="24"/>
                <w:szCs w:val="24"/>
              </w:rPr>
              <w:t xml:space="preserve">List only the authorities that map to content in this artifact. Group by authority; order sections and control IDs numerically. No padding. Replace the lines below with the citations that actually apply.</w:t>
            </w:r>
          </w:p>
          <w:p>
            <w:pPr>
              <w:spacing w:after="40" w:before="0"/>
            </w:pPr>
            <w:r>
              <w:rPr>
                <w:rFonts w:ascii="Aptos" w:cs="Aptos" w:eastAsia="Aptos" w:hAnsi="Aptos"/>
                <w:b w:val="false"/>
                <w:bCs w:val="false"/>
                <w:i w:val="false"/>
                <w:iCs w:val="false"/>
                <w:sz w:val="24"/>
                <w:szCs w:val="24"/>
              </w:rPr>
              <w:t xml:space="preserve">NENA-STA-040.2-2024: §4.1.2, §4.2.5, §5.1.1</w:t>
            </w:r>
          </w:p>
          <w:p>
            <w:pPr>
              <w:spacing w:after="40" w:before="0"/>
            </w:pPr>
            <w:r>
              <w:rPr>
                <w:rFonts w:ascii="Aptos" w:cs="Aptos" w:eastAsia="Aptos" w:hAnsi="Aptos"/>
                <w:b w:val="false"/>
                <w:bCs w:val="false"/>
                <w:i w:val="false"/>
                <w:iCs w:val="false"/>
                <w:sz w:val="24"/>
                <w:szCs w:val="24"/>
              </w:rPr>
              <w:t xml:space="preserve">NIST SP 800-53 Rev. 5: AC-22, AT-2, PL-4</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{approvingOfficialTitle}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{ownerRole2}</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{version2}</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{effectiveDate3}</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w:t>
            </w:r>
            <w:r>
              <w:rPr>
                <w:rFonts w:ascii="Aptos" w:cs="Aptos" w:eastAsia="Aptos" w:hAnsi="Aptos"/>
                <w:b w:val="false"/>
                <w:bCs w:val="false"/>
                <w:i/>
                <w:iCs/>
                <w:color w:val="595959"/>
                <w:sz w:val="24"/>
                <w:szCs w:val="24"/>
              </w:rPr>
              <w:t xml:space="preserve">(internal, delete before publishing)</w:t>
            </w:r>
          </w:p>
          <w:p>
            <w:pPr>
              <w:spacing w:after="140"/>
            </w:pPr>
            <w:r>
              <w:rPr>
                <w:rFonts w:ascii="Aptos" w:cs="Aptos" w:eastAsia="Aptos" w:hAnsi="Aptos"/>
                <w:i/>
                <w:iCs/>
                <w:color w:val="595959"/>
                <w:sz w:val="24"/>
                <w:szCs w:val="24"/>
              </w:rPr>
              <w:t xml:space="preserve">Confirm before finalizing: (1) the {signingOfficialTitle} and {ownerRole3}; (2) whether official-account approval is routed through a PIO or the director.</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