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Network Segmentation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{itSupportLead}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 Minimum for this artifact: it documents the zoning that isolates critical services. Your agency may raise but not lower it.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40"/>
            </w:pPr>
            <w:r>
              <w:rPr>
                <w:rFonts w:ascii="Aptos" w:cs="Aptos" w:eastAsia="Aptos" w:hAnsi="Aptos"/>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sz w:val="24"/>
                <w:szCs w:val="24"/>
              </w:rPr>
              <w:t xml:space="preserve">Placeholder key: [BRACKETED] = fill in   ·   [REQUIRED] (bold) = required field   ·   « » = guidance to delete.</w:t>
            </w:r>
          </w:p>
          <w:p>
            <w:pPr>
              <w:spacing w:after="140"/>
            </w:pPr>
            <w:r>
              <w:rPr>
                <w:rFonts w:ascii="Aptos" w:cs="Aptos" w:eastAsia="Aptos" w:hAnsi="Aptos"/>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diagram or design documents and the decisions it supports. One or two sentences.»</w:t>
      </w:r>
    </w:p>
    <w:p>
      <w:pPr>
        <w:spacing w:after="120" w:before="0"/>
      </w:pPr>
      <w:r>
        <w:rPr>
          <w:rFonts w:ascii="Aptos" w:cs="Aptos" w:eastAsia="Aptos" w:hAnsi="Aptos"/>
          <w:b w:val="false"/>
          <w:bCs w:val="false"/>
          <w:i w:val="false"/>
          <w:iCs w:val="false"/>
          <w:sz w:val="24"/>
          <w:szCs w:val="24"/>
        </w:rPr>
        <w:t xml:space="preserve">This document sets the agency's network segmentation model: the zones and VLANs, what each isolates, the DMZ and inter-segment rules, and the reasons behind them. It is the design the Firewall Ruleset Documentation implements as-built, and it keeps critical services such as GIS and call routing separated from general-use systems.</w:t>
      </w:r>
    </w:p>
    <w:p>
      <w:pPr>
        <w:pStyle w:val="Heading2"/>
        <w:spacing w:after="100" w:before="220"/>
      </w:pPr>
      <w:r>
        <w:rPr>
          <w:rFonts w:ascii="Aptos" w:cs="Aptos" w:eastAsia="Aptos" w:hAnsi="Aptos"/>
          <w:b/>
          <w:bCs/>
          <w:color w:val="1B3A5C"/>
          <w:sz w:val="26"/>
          <w:szCs w:val="26"/>
        </w:rPr>
        <w:t xml:space="preserve">2. Diagram</w:t>
      </w:r>
    </w:p>
    <w:p>
      <w:pPr>
        <w:spacing w:after="140"/>
      </w:pPr>
      <w:r>
        <w:rPr>
          <w:rFonts w:ascii="Aptos" w:cs="Aptos" w:eastAsia="Aptos" w:hAnsi="Aptos"/>
          <w:i/>
          <w:iCs/>
          <w:color w:val="595959"/>
          <w:sz w:val="24"/>
          <w:szCs w:val="24"/>
        </w:rPr>
        <w:t xml:space="preserve">« Insert the current segmentation or zone diagram below. Show each zone or VLAN and the controls between them. Keep it legible at one page. Update the Change History whenever the design changes.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pPr>
          </w:p>
          <w:p>
            <w:pPr>
              <w:spacing w:after="80" w:before="80"/>
              <w:jc w:val="center"/>
            </w:pPr>
            <w:r>
              <w:rPr>
                <w:rFonts w:ascii="Aptos" w:cs="Aptos" w:eastAsia="Aptos" w:hAnsi="Aptos"/>
                <w:i/>
                <w:iCs/>
                <w:color w:val="595959"/>
                <w:sz w:val="24"/>
                <w:szCs w:val="24"/>
              </w:rPr>
              <w:t xml:space="preserve">«Insert the current diagram here»</w:t>
            </w:r>
          </w:p>
          <w:p>
            <w:pPr>
              <w:spacing w:after="220"/>
            </w:pPr>
          </w:p>
        </w:tc>
      </w:tr>
    </w:tbl>
    <w:p>
      <w:pPr>
        <w:pStyle w:val="Heading2"/>
        <w:spacing w:after="100" w:before="220"/>
      </w:pPr>
      <w:r>
        <w:rPr>
          <w:rFonts w:ascii="Aptos" w:cs="Aptos" w:eastAsia="Aptos" w:hAnsi="Aptos"/>
          <w:b/>
          <w:bCs/>
          <w:color w:val="1B3A5C"/>
          <w:sz w:val="26"/>
          <w:szCs w:val="26"/>
        </w:rPr>
        <w:t xml:space="preserve">3. Segmentation Zones</w:t>
      </w:r>
    </w:p>
    <w:p>
      <w:pPr>
        <w:spacing w:after="140"/>
      </w:pPr>
      <w:r>
        <w:rPr>
          <w:rFonts w:ascii="Aptos" w:cs="Aptos" w:eastAsia="Aptos" w:hAnsi="Aptos"/>
          <w:i/>
          <w:iCs/>
          <w:color w:val="595959"/>
          <w:sz w:val="24"/>
          <w:szCs w:val="24"/>
        </w:rPr>
        <w:t xml:space="preserve">« One row per zone or VLAN: what it holds, its trust level, what it is isolated from, and the rule governing traffic in and out.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1500"/>
        <w:gridCol w:w="1650"/>
        <w:gridCol w:w="2260"/>
      </w:tblGrid>
      <w:tr>
        <w:trPr>
          <w:tblHeader/>
        </w:trPr>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Zone / VLAN</w:t>
            </w:r>
          </w:p>
        </w:tc>
        <w:tc>
          <w:tcPr>
            <w:tcW w:type="dxa" w:w="24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Purpose / systems in zone</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Trust level</w:t>
            </w:r>
          </w:p>
        </w:tc>
        <w:tc>
          <w:tcPr>
            <w:tcW w:type="dxa" w:w="165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Isolated from</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Inter-segment rule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{dispatchCadVlan}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{callHandlingAndDispatchCadCpe}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{adminGuestDmz}</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Deny by default; allow only defined flows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{voipSipMediaAndSignaling}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{critical2}</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{guestAdmin}</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{allowToSessionBorderControllerOnly}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{gisMappingVlan}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{gisAndMapDataServices}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{critical3}</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{generalUseGuest}</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{allowFromDispatchOnly}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{administrativeVlan}</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{generalUseWorkstationsEmail}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{standard}</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{dispatchVoiceGis}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{denyToCriticalVlans}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{dmz}</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{publicOrPartnerFacingServices}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{untrusted}</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{allInternalVlans}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{ingressEgressFilteredNoDirectInternalAcc}</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{guestPublicWiFi}</w:t>
            </w:r>
          </w:p>
        </w:tc>
        <w:tc>
          <w:tcPr>
            <w:tcW w:type="dxa" w:w="24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{visitorInternetAccessOnly}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{untrusted2}</w:t>
            </w:r>
          </w:p>
        </w:tc>
        <w:tc>
          <w:tcPr>
            <w:tcW w:type="dxa" w:w="165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{allInternal}</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{internetOnlyFullyIsolated}</w:t>
            </w:r>
          </w:p>
        </w:tc>
      </w:tr>
    </w:tbl>
    <w:p>
      <w:pPr>
        <w:pStyle w:val="Heading2"/>
        <w:spacing w:after="100" w:before="220"/>
      </w:pPr>
      <w:r>
        <w:rPr>
          <w:rFonts w:ascii="Aptos" w:cs="Aptos" w:eastAsia="Aptos" w:hAnsi="Aptos"/>
          <w:b/>
          <w:bCs/>
          <w:color w:val="1B3A5C"/>
          <w:sz w:val="26"/>
          <w:szCs w:val="26"/>
        </w:rPr>
        <w:t xml:space="preserve">4. Inter-Segment Rules &amp; Traffic Policy</w:t>
      </w:r>
    </w:p>
    <w:p>
      <w:pPr>
        <w:spacing w:after="140"/>
      </w:pPr>
      <w:r>
        <w:rPr>
          <w:rFonts w:ascii="Aptos" w:cs="Aptos" w:eastAsia="Aptos" w:hAnsi="Aptos"/>
          <w:i/>
          <w:iCs/>
          <w:color w:val="595959"/>
          <w:sz w:val="24"/>
          <w:szCs w:val="24"/>
        </w:rPr>
        <w:t xml:space="preserve">« The traffic policy between zones: the default-deny stance, which inter-zone flows are allowed and through what control, DMZ ingress and egress, and how peer-to-peer is restricted. Reference dependent artifacts by Tracker name. »</w:t>
      </w:r>
    </w:p>
    <w:p>
      <w:pPr>
        <w:spacing w:after="120" w:before="0"/>
      </w:pPr>
      <w:r>
        <w:rPr>
          <w:rFonts w:ascii="Aptos" w:cs="Aptos" w:eastAsia="Aptos" w:hAnsi="Aptos"/>
          <w:b w:val="false"/>
          <w:bCs w:val="false"/>
          <w:i w:val="false"/>
          <w:iCs w:val="false"/>
          <w:sz w:val="24"/>
          <w:szCs w:val="24"/>
        </w:rPr>
        <w:t xml:space="preserve">State the traffic policy plainly: all inter-zone traffic is denied by default, and only the flows named in the table are allowed, each through a defined control. Record DMZ ingress and egress filtering and the rule that no DMZ host reaches an internal VLAN directly. Restrict peer-to-peer and device-to-device connections between endpoints. This design is enforced as-built in the Firewall Ruleset Documentation and carried into the System Configuration Baselines so changes run through change management.</w:t>
      </w:r>
    </w:p>
    <w:p>
      <w:pPr>
        <w:pStyle w:val="Heading2"/>
        <w:spacing w:after="100" w:before="220"/>
      </w:pPr>
      <w:r>
        <w:rPr>
          <w:rFonts w:ascii="Aptos" w:cs="Aptos" w:eastAsia="Aptos" w:hAnsi="Aptos"/>
          <w:b/>
          <w:bCs/>
          <w:color w:val="1B3A5C"/>
          <w:sz w:val="26"/>
          <w:szCs w:val="26"/>
        </w:rPr>
        <w:t xml:space="preserve">5. Critical Service Isolation</w:t>
      </w:r>
    </w:p>
    <w:p>
      <w:pPr>
        <w:spacing w:after="120" w:before="0"/>
      </w:pPr>
      <w:r>
        <w:rPr>
          <w:rFonts w:ascii="Aptos" w:cs="Aptos" w:eastAsia="Aptos" w:hAnsi="Aptos"/>
          <w:b w:val="false"/>
          <w:bCs w:val="false"/>
          <w:i w:val="false"/>
          <w:iCs w:val="false"/>
          <w:sz w:val="24"/>
          <w:szCs w:val="24"/>
        </w:rPr>
        <w:t xml:space="preserve">Call routing (the CPE and CAD path) and GIS run on their own VLANs, isolated from general-use and guest systems and reachable only over the defined flows above. A failure or compromise on the administrative or guest network must not reach these services. Isolation is verified when the segmentation design changes and during periodic review.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basic split is enough: keep dispatch and voice on one protected segment, put guest Wi-Fi on a separate internet-only network, and keep the two apart. The county or vendor IT contact enforces it on the firewall.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Separate VLANs for dispatch, voice, GIS, and administration, with a DMZ for any public-facing service and default-deny rules between zones. Reviewed when the network changes.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full zoned design with micro-segmentation for critical services, DMZ and internal separation across both centers, and inter-segment rules managed and monitored as part of the security program.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140"/>
            </w:pPr>
            <w:r>
              <w:rPr>
                <w:rFonts w:ascii="Aptos" w:cs="Aptos" w:eastAsia="Aptos" w:hAnsi="Aptos"/>
                <w:i w:val="false"/>
                <w:iCs w:val="false"/>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sz w:val="24"/>
                <w:szCs w:val="24"/>
              </w:rPr>
              <w:t xml:space="preserve">NENA-STA-040.2-2024: §6.9, §6.12, §6.13, §6.16</w:t>
            </w:r>
          </w:p>
          <w:p>
            <w:pPr>
              <w:spacing w:after="40" w:before="0"/>
            </w:pPr>
            <w:r>
              <w:rPr>
                <w:rFonts w:ascii="Aptos" w:cs="Aptos" w:eastAsia="Aptos" w:hAnsi="Aptos"/>
                <w:sz w:val="24"/>
                <w:szCs w:val="24"/>
              </w:rPr>
              <w:t xml:space="preserve">NIST SP 800-53 Rev. 5: AC-4, CA-9,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Architecture / Design artifact’s required change-history element. Add one row per change to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Drafter's note </w:t>
            </w:r>
            <w:r>
              <w:rPr>
                <w:rFonts w:ascii="Aptos" w:cs="Aptos" w:eastAsia="Aptos" w:hAnsi="Aptos"/>
                <w:color w:val="595959"/>
                <w:sz w:val="24"/>
                <w:szCs w:val="24"/>
              </w:rPr>
              <w:t xml:space="preserve">(internal, delete before publishing)</w:t>
            </w:r>
          </w:p>
          <w:p>
            <w:pPr>
              <w:spacing w:after="140"/>
            </w:pPr>
            <w:r>
              <w:rPr>
                <w:rFonts w:ascii="Aptos" w:cs="Aptos" w:eastAsia="Aptos" w:hAnsi="Aptos"/>
                <w:sz w:val="24"/>
                <w:szCs w:val="24"/>
              </w:rPr>
              <w:t xml:space="preserve">The Component Descriptions table was recast into a segmentation-zones table (zone/VLAN, purpose and systems, trust level, isolated from, inter-segment rule). A dedicated Critical Service Isolation section was added to carry the GIS and call-routing isolation requirement (assessment 4B-3), which maps to this artifact alone.</w:t>
            </w:r>
          </w:p>
          <w:p>
            <w:pPr>
              <w:spacing w:after="140"/>
            </w:pPr>
            <w:r>
              <w:rPr>
                <w:rFonts w:ascii="Aptos" w:cs="Aptos" w:eastAsia="Aptos" w:hAnsi="Aptos"/>
                <w:sz w:val="24"/>
                <w:szCs w:val="24"/>
              </w:rPr>
              <w:t xml:space="preserve">The Diagram box stays blank in the form; worked examples carry a generated zone diagram. This design is implemented as-built in the Firewall Ruleset Documentation and recorded in the System Configuration Baselines; it depends on the Network Architecture Diagram. Agency-supplied values in brackets: {agencyName}, owner and signing roles, version and dates, and every zone, system, and rule value.</w:t>
            </w:r>
          </w:p>
        </w:tc>
      </w:tr>
    </w:tbl>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