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System Configuration Baselines (per system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p>
            <w:pPr>
              <w:spacing w:after="0"/>
            </w:pPr>
            <w:r>
              <w:rPr>
                <w:rFonts w:ascii="Aptos" w:cs="Aptos" w:eastAsia="Aptos" w:hAnsi="Aptos"/>
                <w:i/>
                <w:iCs/>
                <w:color w:val="595959"/>
                <w:sz w:val="24"/>
                <w:szCs w:val="24"/>
              </w:rPr>
              <w:t xml:space="preserve">«Minimum for Configuration Record artifacts. Stays Restricted in nearly all cases; these records reveal active security settings. Raise to Confidential only if a named custodian creates personal security risk.»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 and Scope</w:t>
      </w:r>
    </w:p>
    <w:p>
      <w:pPr>
        <w:spacing w:after="140"/>
      </w:pPr>
      <w:r>
        <w:rPr>
          <w:rFonts w:ascii="Aptos" w:cs="Aptos" w:eastAsia="Aptos" w:hAnsi="Aptos"/>
          <w:i/>
          <w:iCs/>
          <w:color w:val="595959"/>
          <w:sz w:val="24"/>
          <w:szCs w:val="24"/>
        </w:rPr>
        <w:t>«This record documents the approved baseline, the configuration that should be true, for each system type. The as-built state and any drift from this baseline are recorded in the Configuration Drift Detection Records.»</w:t>
      </w:r>
    </w:p>
    <w:p>
      <w:pPr>
        <w:spacing w:after="120" w:before="0"/>
      </w:pPr>
      <w:r>
        <w:rPr>
          <w:rFonts w:ascii="Aptos" w:cs="Aptos" w:eastAsia="Aptos" w:hAnsi="Aptos"/>
          <w:b w:val="false"/>
          <w:bCs w:val="false"/>
          <w:i w:val="false"/>
          <w:iCs w:val="false"/>
          <w:sz w:val="24"/>
          <w:szCs w:val="24"/>
        </w:rPr>
        <w:t>This record documents {agencyName}'s approved secure configuration baselines for each type of system it operates: workstations, servers, network devices, telephony and CAD appliances, and Session Border Controller (SBC) consoles. For each, it records the approved settings (password rules, open and closed ports, logging, lockout) and any deliberate deviation from vendor default. It implements the Change Management Policy, all baseline changes run through that policy, and it is the baseline the Configuration Drift Detection Records check against.</w:t>
      </w:r>
    </w:p>
    <w:p>
      <w:pPr>
        <w:pStyle w:val="Heading2"/>
        <w:spacing w:after="100" w:before="220"/>
      </w:pPr>
      <w:r>
        <w:rPr>
          <w:rFonts w:ascii="Aptos" w:cs="Aptos" w:eastAsia="Aptos" w:hAnsi="Aptos"/>
          <w:b/>
          <w:bCs/>
          <w:color w:val="1B3A5C"/>
          <w:sz w:val="26"/>
          <w:szCs w:val="26"/>
        </w:rPr>
        <w:t>2. Systems in Scope</w:t>
      </w:r>
    </w:p>
    <w:p>
      <w:pPr>
        <w:spacing w:after="140"/>
      </w:pPr>
      <w:r>
        <w:rPr>
          <w:rFonts w:ascii="Aptos" w:cs="Aptos" w:eastAsia="Aptos" w:hAnsi="Aptos"/>
          <w:i/>
          <w:iCs/>
          <w:color w:val="595959"/>
          <w:sz w:val="24"/>
          <w:szCs w:val="24"/>
        </w:rPr>
        <w:t>«List the system types this baseline set covers. Tie each to the Master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System type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Scope and examples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Workstations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Dispatch and administrative workstations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Servers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CAD, mapping, and back-end servers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Network devices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Switches, routers, firewalls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Telephony / CAD appliances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Call-handling and CAD appliances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SBC consoles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Session Border Controller administration consoles</w:t>
            </w:r>
          </w:p>
        </w:tc>
      </w:tr>
    </w:tbl>
    <w:p>
      <w:pPr>
        <w:pStyle w:val="Heading2"/>
        <w:spacing w:after="100" w:before="220"/>
      </w:pPr>
      <w:r>
        <w:rPr>
          <w:rFonts w:ascii="Aptos" w:cs="Aptos" w:eastAsia="Aptos" w:hAnsi="Aptos"/>
          <w:b/>
          <w:bCs/>
          <w:color w:val="1B3A5C"/>
          <w:sz w:val="26"/>
          <w:szCs w:val="26"/>
        </w:rPr>
        <w:t>3. Approved Baseline Settings (per system type)</w:t>
      </w:r>
    </w:p>
    <w:p>
      <w:pPr>
        <w:spacing w:after="140"/>
      </w:pPr>
      <w:r>
        <w:rPr>
          <w:rFonts w:ascii="Aptos" w:cs="Aptos" w:eastAsia="Aptos" w:hAnsi="Aptos"/>
          <w:i/>
          <w:iCs/>
          <w:color w:val="595959"/>
          <w:sz w:val="24"/>
          <w:szCs w:val="24"/>
        </w:rPr>
        <w:t>«One row per setting, grouped by system type. Record the approved value and whether it deliberately deviates from the vendor default.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System type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Setting</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Approved value</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Deviation from vendor default?</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Notes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Workstations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[setting, e.g., password rules]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{approvedValue}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{yesNo}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Servers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[setting, e.g., open/closed ports]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{approvedValue2}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{yesNo2}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{notes2}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Network devices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[setting, e.g., logging]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{approvedValue3}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{yesNo3}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{notes3}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Telephony / CAD appliances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{setting}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{approvedValue4}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{yesNo4}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{notes4}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SBC consoles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{accountLockout}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{approvedValue5}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{yesNo5}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{notes5}</w:t>
            </w:r>
          </w:p>
        </w:tc>
      </w:tr>
    </w:tbl>
    <w:p>
      <w:pPr>
        <w:pStyle w:val="Heading2"/>
        <w:spacing w:after="100" w:before="220"/>
      </w:pPr>
      <w:r>
        <w:rPr>
          <w:rFonts w:ascii="Aptos" w:cs="Aptos" w:eastAsia="Aptos" w:hAnsi="Aptos"/>
          <w:b/>
          <w:bCs/>
          <w:color w:val="1B3A5C"/>
          <w:sz w:val="26"/>
          <w:szCs w:val="26"/>
        </w:rPr>
        <w:t>4. Network Zones and ACLs</w:t>
      </w:r>
    </w:p>
    <w:p>
      <w:pPr>
        <w:spacing w:after="140"/>
      </w:pPr>
      <w:r>
        <w:rPr>
          <w:rFonts w:ascii="Aptos" w:cs="Aptos" w:eastAsia="Aptos" w:hAnsi="Aptos"/>
          <w:i/>
          <w:iCs/>
          <w:color w:val="595959"/>
          <w:sz w:val="24"/>
          <w:szCs w:val="24"/>
        </w:rPr>
        <w:t>«Document the network zones, VLANs, and firewall/ACL rules that are part of the baseline and change-controlled (assessment 5A-5).»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Zone / segment</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Purpose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Allowed traffic / ACL summary</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Change-control reference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Notes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[zone, e.g., dispatch VLAN]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{purpose}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{allowedTraffic}</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{changeRef}</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{notes6}</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{zone}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{purpose2}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{allowedTraffic2}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{changeRef2}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{notes7}</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{zone2}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{purpose3}</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{allowedTraffic3}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{changeRef3}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{notes8}</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40"/>
      </w:pPr>
      <w:r>
        <w:rPr>
          <w:rFonts w:ascii="Aptos" w:cs="Aptos" w:eastAsia="Aptos" w:hAnsi="Aptos"/>
          <w:i/>
          <w:iCs/>
          <w:color w:val="595959"/>
          <w:sz w:val="24"/>
          <w:szCs w:val="24"/>
        </w:rPr>
        <w:t xml:space="preserve">«How and how often the as-built state is checked against the approved baseline, and who does it. Each change is recorded in the Change History below.»</w:t>
      </w:r>
    </w:p>
    <w:p>
      <w:pPr>
        <w:spacing w:after="120" w:before="0"/>
      </w:pPr>
      <w:r>
        <w:rPr>
          <w:rFonts w:ascii="Aptos" w:cs="Aptos" w:eastAsia="Aptos" w:hAnsi="Aptos"/>
          <w:b w:val="false"/>
          <w:bCs w:val="false"/>
          <w:i w:val="false"/>
          <w:iCs w:val="false"/>
          <w:sz w:val="24"/>
          <w:szCs w:val="24"/>
        </w:rPr>
        <w:t>The approved baselines are validated against the as-built state through the Configuration Drift Detection Records, at least {reviewCadence} and after any change, by the {ownerRole}. Every change to a baseline runs through the Change Management Policy and is recorded in the Change History below.</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handful of baselines kept as written documents: one for workstations, one for servers, one for the network and telephony gear. County or vendor IT sets them from vendor hardening guides and the director keeps them current.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 maintains a baseline per system type and pushes settings where it can (for example, Group Policy for workstations). Baselines are reviewed on a set cycle and after major changes.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Baselines are managed through a configuration-management tool, version-controlled and enforced automatically, with drift surfaced through the drift records.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§6.2.5, §6.9, §6.10.2, §6.19</w:t>
            </w:r>
          </w:p>
          <w:p>
            <w:pPr>
              <w:spacing w:after="40" w:before="0"/>
            </w:pPr>
            <w:r>
              <w:rPr>
                <w:rFonts w:ascii="Aptos" w:cs="Aptos" w:eastAsia="Aptos" w:hAnsi="Aptos"/>
                <w:b w:val="false"/>
                <w:bCs w:val="false"/>
                <w:i w:val="false"/>
                <w:iCs w:val="false"/>
                <w:sz w:val="24"/>
                <w:szCs w:val="24"/>
              </w:rPr>
              <w:t>NIST SP 800-53 Rev. 5: AC-7, CM-2, CM-6, CM-7, IA-5, SC-7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{securityReviewerRole}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Configuration Record’s required change-history element. Add one row per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Documents the approved baseline (the should-be) per system type; the as-built state and drift live in the Configuration Drift Detection Records. SBC consoles are carried as a system type with account-lockout settings (assessment 2E-3). Confirm before finalizing: (1) the system types in scope for this agency; (2) the {ownerRole2} and validation cadence. No CJIS overlay: CJIS-regulated systems are maintained by the State outside PSAP scope. Cross-referenced artifacts use Tracker names: Change Management Policy, Configuration Drift Detection Records, Master Asset Inventory, Network Segmentation Design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2026-06-01T15:29:11.476Z</dcterms:created>
  <dcterms:modified xsi:type="dcterms:W3CDTF">2026-06-01T15:29:11.476Z</dcterms:modified>
</cp:coreProperties>
</file>

<file path=docProps/custom.xml><?xml version="1.0" encoding="utf-8"?>
<Properties xmlns="http://schemas.openxmlformats.org/officeDocument/2006/custom-properties" xmlns:vt="http://schemas.openxmlformats.org/officeDocument/2006/docPropsVTypes"/>
</file>