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Background Check &amp; Screening Policy</w:t>
      </w:r>
    </w:p>
    <w:p>
      <w:pPr>
        <w:spacing w:after="140"/>
      </w:pPr>
      <w:r>
        <w:rPr>
          <w:rFonts w:ascii="Aptos" w:cs="Aptos" w:eastAsia="Aptos" w:hAnsi="Aptos"/>
          <w:i/>
          <w:iCs/>
          <w:color w:val="595959"/>
          <w:sz w:val="24"/>
          <w:szCs w:val="24"/>
        </w:rPr>
        <w:t xml:space="preserve">«Replace with the artifact name exactly as it appears in the Tracker (e.g., 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hAnsi="Aptos"/>
                <w:b/>
                <w:sz w:val="24"/>
              </w:rPr>
              <w:t xml:space="preserve">Classification: </w:t>
            </w:r>
            <w:r>
              <w:rPr>
                <w:rFonts w:ascii="Aptos" w:hAnsi="Aptos"/>
                <w:b w:val="0"/>
                <w:sz w:val="24"/>
              </w:rPr>
              <w:t>Internal / CJIS</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color="auto"/>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b w:val="0"/>
                <w:color w:val="595959"/>
                <w:sz w:val="24"/>
              </w:rPr>
              <w:t>This template is ready to adopt. Replace every [BRACKETED] field with your agency’s information, follow the « » guidance notes,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b w:val="0"/>
                <w:color w:val="595959"/>
                <w:sz w:val="24"/>
              </w:rPr>
              <w:t>Keep the body director-readable. Push technical detail and contact lists to an appendix. Source Authority, approval signatures, and revision history stay at the foot of the document.</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{agencyName}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[list positions and the check required for each].</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on the interval defined by the Agency and, for CJIS-regulated access, on the cadence IDACS requires,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{agencyName}.</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{directorName}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{agencyName}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Only the {directorName} may grant a time-limited exception, in writing, with a documented compensating control such as continuous escort. Exceptions are logged and expire on {timeframe}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{reviewCadence} and after [any change to CJIS screening requirements or Indiana statute],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The director usually serves as the adjudicating authority and works with county HR and the IDACS TAC for fingerprint checks. One consent form and one confidential file per person is enough.</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or HR contact runs screening and tracks rescreening dates; the director adjudicates adverse findings. Contractor screening clauses go into vendor agreements managed by the shared-services or county contracts office.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dedicated HR or security function manages tiered screening, periodic rescreening, and contractor vetting through a tracked workflow, with the TAC owning all IDACS / CJIS checks and a documented adjudication authority or panel.</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Screening tiers, the rescreening interval, and the exception timeframe are agency-defined and left bracketed. The named adjudicating authority and the IDACS TAC role should be confirmed against the agency’s CJIS arrangement.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