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Document Handling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w:t>
            </w:r>
          </w:p>
          <w:p>
            <w:pPr>
              <w:spacing w:after="0"/>
            </w:pPr>
            <w:r>
              <w:rPr>
                <w:rFonts w:ascii="Aptos" w:cs="Aptos" w:eastAsia="Aptos" w:hAnsi="Aptos"/>
                <w:sz w:val="24"/>
                <w:szCs w:val="24"/>
                <w:i/>
                <w:color w:val="595959"/>
              </w:rPr>
              <w:t xml:space="preserve">«Minimum for this artifact.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sz w:val="24"/>
                <w:szCs w:val="24"/>
                <w:i/>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standard prescribes and the policy it implements. A Standard states what must be true; it governs behavior.»</w:t>
      </w:r>
    </w:p>
    <w:p>
      <w:pPr>
        <w:spacing w:after="120" w:before="0"/>
      </w:pPr>
      <w:r>
        <w:rPr>
          <w:rFonts w:ascii="Aptos" w:cs="Aptos" w:eastAsia="Aptos" w:hAnsi="Aptos"/>
          <w:sz w:val="24"/>
          <w:szCs w:val="24"/>
        </w:rPr>
        <w:t xml:space="preserve">This standard sets how {agencyName} stores, transmits, transports, and destroys information and media at each data classification, so protection matches sensitivity across the full information lifecycle. It implements the Data Classification Policy.</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and who the standard binds; which systems or data it applies to.»</w:t>
      </w:r>
    </w:p>
    <w:p>
      <w:pPr>
        <w:pStyle w:val="ListParagraph"/>
        <w:numPr>
          <w:ilvl w:val="0"/>
          <w:numId w:val="2"/>
        </w:numPr>
        <w:spacing w:after="60"/>
      </w:pPr>
      <w:r>
        <w:rPr>
          <w:rFonts w:ascii="Aptos" w:cs="Aptos" w:eastAsia="Aptos" w:hAnsi="Aptos"/>
          <w:sz w:val="24"/>
          <w:szCs w:val="24"/>
        </w:rPr>
        <w:t xml:space="preserve">Applies to: all Agency personnel and any contractor or vendor who handles Agency information or media.</w:t>
      </w:r>
    </w:p>
    <w:p>
      <w:pPr>
        <w:pStyle w:val="ListParagraph"/>
        <w:numPr>
          <w:ilvl w:val="0"/>
          <w:numId w:val="2"/>
        </w:numPr>
        <w:spacing w:after="60"/>
      </w:pPr>
      <w:r>
        <w:rPr>
          <w:rFonts w:ascii="Aptos" w:cs="Aptos" w:eastAsia="Aptos" w:hAnsi="Aptos"/>
          <w:sz w:val="24"/>
          <w:szCs w:val="24"/>
        </w:rPr>
        <w:t xml:space="preserve">Implements: the Data Classification Policy.</w:t>
      </w:r>
    </w:p>
    <w:p>
      <w:pPr>
        <w:pStyle w:val="ListParagraph"/>
        <w:numPr>
          <w:ilvl w:val="0"/>
          <w:numId w:val="2"/>
        </w:numPr>
        <w:spacing w:after="60"/>
      </w:pPr>
      <w:r>
        <w:rPr>
          <w:rFonts w:ascii="Aptos" w:cs="Aptos" w:eastAsia="Aptos" w:hAnsi="Aptos"/>
          <w:sz w:val="24"/>
          <w:szCs w:val="24"/>
        </w:rPr>
        <w:t xml:space="preserve">Excludes: CJIS-specific handling, which is governed by the CJIS Data Handling Addendum. [State any local exclusions.]</w:t>
      </w:r>
    </w:p>
    <w:p>
      <w:pPr>
        <w:pStyle w:val="Heading2"/>
        <w:spacing w:after="100" w:before="220"/>
      </w:pPr>
      <w:r>
        <w:rPr>
          <w:rFonts w:ascii="Aptos" w:cs="Aptos" w:eastAsia="Aptos" w:hAnsi="Aptos"/>
          <w:b/>
          <w:bCs/>
          <w:color w:val="1B3A5C"/>
          <w:sz w:val="26"/>
          <w:szCs w:val="26"/>
        </w:rPr>
        <w:t xml:space="preserve">3. Requirements</w:t>
      </w:r>
    </w:p>
    <w:p>
      <w:pPr>
        <w:spacing w:after="140"/>
      </w:pPr>
      <w:r>
        <w:rPr>
          <w:rFonts w:ascii="Aptos" w:cs="Aptos" w:eastAsia="Aptos" w:hAnsi="Aptos"/>
          <w:i/>
          <w:iCs/>
          <w:color w:val="595959"/>
          <w:sz w:val="24"/>
          <w:szCs w:val="24"/>
        </w:rPr>
        <w:t xml:space="preserve">«The binding requirements, as numbered statements. Each must be testable. Use “The Agency shall…”.»</w:t>
      </w:r>
    </w:p>
    <w:p>
      <w:pPr>
        <w:spacing w:after="140"/>
      </w:pPr>
      <w:r>
        <w:rPr>
          <w:rFonts w:ascii="Aptos" w:cs="Aptos" w:eastAsia="Aptos" w:hAnsi="Aptos"/>
          <w:sz w:val="24"/>
          <w:szCs w:val="24"/>
          <w:b/>
          <w:color w:val="1B3A5C"/>
        </w:rPr>
        <w:t xml:space="preserve">Storage</w:t>
      </w:r>
    </w:p>
    <w:p>
      <w:pPr>
        <w:pStyle w:val="ListParagraph"/>
        <w:numPr>
          <w:ilvl w:val="0"/>
          <w:numId w:val="3"/>
        </w:numPr>
        <w:spacing w:after="60"/>
      </w:pPr>
      <w:r>
        <w:rPr>
          <w:rFonts w:ascii="Aptos" w:cs="Aptos" w:eastAsia="Aptos" w:hAnsi="Aptos"/>
          <w:sz w:val="24"/>
          <w:szCs w:val="24"/>
        </w:rPr>
        <w:t xml:space="preserve">The Agency shall store information and media at each classification with protection matching its sensitivity, keeping Confidential data (including CJIS-regulated data, governed by the CJIS Data Handling Addendum) in access-controlled locations and encrypted at rest per the Encryption Standards Document.</w:t>
      </w:r>
    </w:p>
    <w:p>
      <w:pPr>
        <w:pStyle w:val="ListParagraph"/>
        <w:numPr>
          <w:ilvl w:val="0"/>
          <w:numId w:val="3"/>
        </w:numPr>
        <w:spacing w:after="60"/>
      </w:pPr>
      <w:r>
        <w:rPr>
          <w:rFonts w:ascii="Aptos" w:cs="Aptos" w:eastAsia="Aptos" w:hAnsi="Aptos"/>
          <w:sz w:val="24"/>
          <w:szCs w:val="24"/>
        </w:rPr>
        <w:t xml:space="preserve">The Agency shall label media and records with their classification where practical.</w:t>
      </w:r>
    </w:p>
    <w:p>
      <w:pPr>
        <w:spacing w:after="140"/>
      </w:pPr>
      <w:r>
        <w:rPr>
          <w:rFonts w:ascii="Aptos" w:cs="Aptos" w:eastAsia="Aptos" w:hAnsi="Aptos"/>
          <w:sz w:val="24"/>
          <w:szCs w:val="24"/>
          <w:b/>
          <w:color w:val="1B3A5C"/>
        </w:rPr>
        <w:t xml:space="preserve">Transmission</w:t>
      </w:r>
    </w:p>
    <w:p>
      <w:pPr>
        <w:pStyle w:val="ListParagraph"/>
        <w:numPr>
          <w:ilvl w:val="0"/>
          <w:numId w:val="3"/>
        </w:numPr>
        <w:spacing w:after="60"/>
      </w:pPr>
      <w:r>
        <w:rPr>
          <w:rFonts w:ascii="Aptos" w:cs="Aptos" w:eastAsia="Aptos" w:hAnsi="Aptos"/>
          <w:sz w:val="24"/>
          <w:szCs w:val="24"/>
        </w:rPr>
        <w:t xml:space="preserve">The Agency shall transmit Restricted and Confidential information only by approved secure methods, encrypted in transit per the Encryption Standards Document, and shall not send such information by personal email or unencrypted channels.</w:t>
      </w:r>
    </w:p>
    <w:p>
      <w:pPr>
        <w:spacing w:after="140"/>
      </w:pPr>
      <w:r>
        <w:rPr>
          <w:rFonts w:ascii="Aptos" w:cs="Aptos" w:eastAsia="Aptos" w:hAnsi="Aptos"/>
          <w:sz w:val="24"/>
          <w:szCs w:val="24"/>
          <w:b/>
          <w:color w:val="1B3A5C"/>
        </w:rPr>
        <w:t xml:space="preserve">Transport</w:t>
      </w:r>
    </w:p>
    <w:p>
      <w:pPr>
        <w:pStyle w:val="ListParagraph"/>
        <w:numPr>
          <w:ilvl w:val="0"/>
          <w:numId w:val="3"/>
        </w:numPr>
        <w:spacing w:after="60"/>
      </w:pPr>
      <w:r>
        <w:rPr>
          <w:rFonts w:ascii="Aptos" w:cs="Aptos" w:eastAsia="Aptos" w:hAnsi="Aptos"/>
          <w:sz w:val="24"/>
          <w:szCs w:val="24"/>
        </w:rPr>
        <w:t xml:space="preserve">The Agency shall transport physical media and printed records holding Restricted or Confidential data so loss or exposure is prevented (sealed, tracked, and encrypted where the media supports it), and shall log the movement in the Media Tracking Register.</w:t>
      </w:r>
    </w:p>
    <w:p>
      <w:pPr>
        <w:spacing w:after="140"/>
      </w:pPr>
      <w:r>
        <w:rPr>
          <w:rFonts w:ascii="Aptos" w:cs="Aptos" w:eastAsia="Aptos" w:hAnsi="Aptos"/>
          <w:sz w:val="24"/>
          <w:szCs w:val="24"/>
          <w:b/>
          <w:color w:val="1B3A5C"/>
        </w:rPr>
        <w:t xml:space="preserve">Destruction</w:t>
      </w:r>
    </w:p>
    <w:p>
      <w:pPr>
        <w:pStyle w:val="ListParagraph"/>
        <w:numPr>
          <w:ilvl w:val="0"/>
          <w:numId w:val="3"/>
        </w:numPr>
        <w:spacing w:after="60"/>
      </w:pPr>
      <w:r>
        <w:rPr>
          <w:rFonts w:ascii="Aptos" w:cs="Aptos" w:eastAsia="Aptos" w:hAnsi="Aptos"/>
          <w:sz w:val="24"/>
          <w:szCs w:val="24"/>
        </w:rPr>
        <w:t xml:space="preserve">The Agency shall destroy information and media at end of retention by a method matching its classification, following the Secure Disposal Procedures, and shall record each destruction in the Data Disposal / Destruction Records.</w:t>
      </w:r>
    </w:p>
    <w:p>
      <w:pPr>
        <w:spacing w:after="140"/>
      </w:pPr>
      <w:r>
        <w:rPr>
          <w:rFonts w:ascii="Aptos" w:cs="Aptos" w:eastAsia="Aptos" w:hAnsi="Aptos"/>
          <w:sz w:val="24"/>
          <w:szCs w:val="24"/>
          <w:b/>
          <w:color w:val="1B3A5C"/>
        </w:rPr>
        <w:t xml:space="preserve">Removable and portable media</w:t>
      </w:r>
    </w:p>
    <w:p>
      <w:pPr>
        <w:pStyle w:val="ListParagraph"/>
        <w:numPr>
          <w:ilvl w:val="0"/>
          <w:numId w:val="3"/>
        </w:numPr>
        <w:spacing w:after="60"/>
      </w:pPr>
      <w:r>
        <w:rPr>
          <w:rFonts w:ascii="Aptos" w:cs="Aptos" w:eastAsia="Aptos" w:hAnsi="Aptos"/>
          <w:sz w:val="24"/>
          <w:szCs w:val="24"/>
        </w:rPr>
        <w:t xml:space="preserve">The Agency shall record every removable or portable media item holding Restricted or Confidential data in the Media Tracking Register, encrypt it where the media supports it, and control who may issue, hold, and return it.</w:t>
      </w:r>
    </w:p>
    <w:p>
      <w:pPr>
        <w:pStyle w:val="Heading2"/>
        <w:spacing w:after="100" w:before="220"/>
      </w:pPr>
      <w:r>
        <w:rPr>
          <w:rFonts w:ascii="Aptos" w:cs="Aptos" w:eastAsia="Aptos" w:hAnsi="Aptos"/>
          <w:b/>
          <w:bCs/>
          <w:color w:val="1B3A5C"/>
          <w:sz w:val="26"/>
          <w:szCs w:val="26"/>
        </w:rPr>
        <w:t xml:space="preserve">4. Approved and Prohibited</w:t>
      </w:r>
    </w:p>
    <w:p>
      <w:pPr>
        <w:spacing w:after="140"/>
      </w:pPr>
      <w:r>
        <w:rPr>
          <w:rFonts w:ascii="Aptos" w:cs="Aptos" w:eastAsia="Aptos" w:hAnsi="Aptos"/>
          <w:i/>
          <w:iCs/>
          <w:color w:val="595959"/>
          <w:sz w:val="24"/>
          <w:szCs w:val="24"/>
        </w:rPr>
        <w:t xml:space="preserve">«The concrete allow/deny lists this standard sets (e.g., approved algorithms, prohibited protocols). Keep the as-built evidence in the matching Configuration Record, not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Encrypted email or secure portal; SFTP or agency VPN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Personal email or messaging; unencrypted USB or drives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Agency-issued encrypted USB; tracked courier for physical media</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Public file-sharing links; media or printed records left unattended</w:t>
            </w:r>
          </w:p>
        </w:tc>
      </w:tr>
    </w:tbl>
    <w:p>
      <w:pPr>
        <w:pStyle w:val="Heading2"/>
        <w:spacing w:after="100" w:before="220"/>
      </w:pPr>
      <w:r>
        <w:rPr>
          <w:rFonts w:ascii="Aptos" w:cs="Aptos" w:eastAsia="Aptos" w:hAnsi="Aptos"/>
          <w:sz w:val="24"/>
          <w:szCs w:val="24"/>
        </w:rPr>
        <w:t xml:space="preserve">5. Media Tracking Register</w:t>
      </w:r>
    </w:p>
    <w:p>
      <w:pPr>
        <w:spacing w:after="140"/>
      </w:pPr>
      <w:r>
        <w:rPr>
          <w:rFonts w:ascii="Aptos" w:cs="Aptos" w:eastAsia="Aptos" w:hAnsi="Aptos"/>
          <w:sz w:val="24"/>
          <w:szCs w:val="24"/>
          <w:i/>
          <w:color w:val="595959"/>
        </w:rPr>
        <w:t xml:space="preserve">« The register the Agency maintains for removable and portable media. One row per media item; keep it current as media is issued, moved, and destroyed.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Field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What the register records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Media ID</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Unique identifier for the media item.</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Type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Media type (drive, tape, USB, printed report).</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Classification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Highest classification of the data it holds.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Custodian (Role)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 accountable for the media.</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Location / Status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Where it is held, or whether issued or returned.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Encryption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Whether and how the media is encrypted.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Movement / Transport</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Date and method of any transport.</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Destruction Reference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Link to the Data Disposal / Destruction Records when destroyed.</w:t>
            </w:r>
          </w:p>
        </w:tc>
      </w:tr>
    </w:tbl>
    <w:p>
      <w:pPr>
        <w:pStyle w:val="Heading2"/>
        <w:spacing w:after="100" w:before="220"/>
      </w:pPr>
      <w:r>
        <w:rPr>
          <w:rFonts w:ascii="Aptos" w:cs="Aptos" w:eastAsia="Aptos" w:hAnsi="Aptos"/>
          <w:b/>
          <w:bCs/>
          <w:color w:val="1B3A5C"/>
          <w:sz w:val="26"/>
          <w:szCs w:val="26"/>
        </w:rPr>
        <w:t>6. Deviation Process</w:t>
      </w:r>
    </w:p>
    <w:p>
      <w:pPr>
        <w:spacing w:after="140"/>
      </w:pPr>
      <w:r>
        <w:rPr>
          <w:rFonts w:ascii="Aptos" w:cs="Aptos" w:eastAsia="Aptos" w:hAnsi="Aptos"/>
          <w:i/>
          <w:iCs/>
          <w:color w:val="595959"/>
          <w:sz w:val="24"/>
          <w:szCs w:val="24"/>
        </w:rPr>
        <w:t xml:space="preserve">«Who may approve a deviation, how it is requested and recorded, and how long it lasts before review.»</w:t>
      </w:r>
    </w:p>
    <w:p>
      <w:pPr>
        <w:spacing w:after="120" w:before="0"/>
      </w:pPr>
      <w:r>
        <w:rPr>
          <w:rFonts w:ascii="Aptos" w:cs="Aptos" w:eastAsia="Aptos" w:hAnsi="Aptos"/>
          <w:b w:val="false"/>
          <w:bCs w:val="false"/>
          <w:i w:val="false"/>
          <w:iCs w:val="false"/>
          <w:sz w:val="24"/>
          <w:szCs w:val="24"/>
        </w:rPr>
        <w:t xml:space="preserve">[Deviation process.]</w:t>
      </w:r>
    </w:p>
    <w:p>
      <w:pPr>
        <w:pStyle w:val="Heading2"/>
        <w:spacing w:after="100" w:before="220"/>
      </w:pPr>
      <w:r>
        <w:rPr>
          <w:rFonts w:ascii="Aptos" w:cs="Aptos" w:eastAsia="Aptos" w:hAnsi="Aptos"/>
          <w:b/>
          <w:bCs/>
          <w:color w:val="1B3A5C"/>
          <w:sz w:val="26"/>
          <w:szCs w:val="26"/>
        </w:rPr>
        <w:t>7.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 xml:space="preserve">This standard is reviewed at least {reviewCadence} and after {significantChange},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short set of rules everyone follows: how to send sensitive files, how to carry or mail media, and how to destroy records. The media register is a simple list of any drives or tapes that hold sensitive data.</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named coordinator maintains the handling rules and the media register for the county's shared systems, and briefs staff on secure transmission and transport.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Handling rules are enforced through tooling (secure email, encrypted media, tracked destruction) and the media register is kept as a live record, reconciled at review.</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sz w:val="24"/>
                <w:szCs w:val="24"/>
              </w:rPr>
              <w:t xml:space="preserve">NENA-STA-040.2-2024: §4.1.4, §4.2.2, §4.2.3</w:t>
            </w:r>
          </w:p>
          <w:p>
            <w:pPr>
              <w:spacing w:after="40" w:before="0"/>
            </w:pPr>
            <w:r>
              <w:rPr>
                <w:rFonts w:ascii="Aptos" w:cs="Aptos" w:eastAsia="Aptos" w:hAnsi="Aptos"/>
                <w:sz w:val="24"/>
                <w:szCs w:val="24"/>
              </w:rPr>
              <w:t xml:space="preserve">NIST SP 800-53 Rev. 5: AC-3, MP-4, MP-6, SC-8, SC-28, SI-12</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sz w:val="24"/>
                <w:szCs w:val="24"/>
                <w:i/>
              </w:rPr>
              <w:t xml:space="preserve">Gate artifact: implements the Data Classification Policy and is the handling rule the data-protection evidence items point to (Secure Disposal Procedures, Data Disposal / Destruction Records, Encryption Standards Document). The Media Tracking Register is embedded here by design (approved deviation from the plain Standard shell). CJIS and IDACS scope: CJIS media handling is governed by the CJIS Data Handling Addendum; if the Agency handles CJIS-regulated media directly, mark the header / CJIS and add CJIS Security Policy v5.9 §5.8 and 240 IAC 5 to the Source Authority. Agency-supplied values in brackets: {agencyName} and the owning role.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