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CJIS Data Handling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sz w:val="24"/>
              </w:rPr>
              <w:t xml:space="preserve">Authority: </w:t>
            </w:r>
            <w:r>
              <w:rPr>
                <w:rFonts w:ascii="Aptos" w:hAnsi="Aptos" w:cs="Aptos"/>
                <w:b w:val="0"/>
                <w:i w:val="0"/>
                <w:sz w:val="24"/>
              </w:rPr>
              <w:t>Adopted by Hickory County 911 under the authority of Tracy Holloway, 911 Director.</w:t>
            </w:r>
          </w:p>
          <w:p>
            <w:pPr>
              <w:spacing w:after="60"/>
            </w:pPr>
            <w:r>
              <w:rPr>
                <w:rFonts w:ascii="Aptos" w:hAnsi="Aptos" w:cs="Aptos"/>
                <w:b/>
                <w:i w:val="0"/>
                <w:sz w:val="24"/>
              </w:rPr>
              <w:t xml:space="preserve">Version: </w:t>
            </w:r>
            <w:r>
              <w:rPr>
                <w:rFonts w:ascii="Aptos" w:hAnsi="Aptos" w:cs="Aptos"/>
                <w:b w:val="0"/>
                <w:i w:val="0"/>
                <w:sz w:val="24"/>
              </w:rPr>
              <w:t>1.0</w:t>
            </w:r>
            <w:r>
              <w:rPr>
                <w:rFonts w:ascii="Aptos" w:hAnsi="Aptos" w:cs="Aptos"/>
                <w:b/>
                <w:i w:val="0"/>
                <w:sz w:val="24"/>
              </w:rPr>
              <w:t xml:space="preserve">    Effective Date: </w:t>
            </w:r>
            <w:r>
              <w:rPr>
                <w:rFonts w:ascii="Aptos" w:hAnsi="Aptos" w:cs="Aptos"/>
                <w:b w:val="0"/>
                <w:i w:val="0"/>
                <w:sz w:val="24"/>
              </w:rPr>
              <w:t>2026-01-15</w:t>
            </w:r>
            <w:r>
              <w:rPr>
                <w:rFonts w:ascii="Aptos" w:hAnsi="Aptos" w:cs="Aptos"/>
                <w:b/>
                <w:i w:val="0"/>
                <w:sz w:val="24"/>
              </w:rPr>
              <w:t xml:space="preserve">    Next Review: </w:t>
            </w:r>
            <w:r>
              <w:rPr>
                <w:rFonts w:ascii="Aptos" w:hAnsi="Aptos" w:cs="Aptos"/>
                <w:b w:val="0"/>
                <w:i w:val="0"/>
                <w:sz w:val="24"/>
              </w:rPr>
              <w:t>2027-01-15</w:t>
            </w:r>
          </w:p>
          <w:p>
            <w:pPr>
              <w:spacing w:after="60"/>
            </w:pPr>
            <w:r>
              <w:rPr>
                <w:rFonts w:ascii="Aptos" w:hAnsi="Aptos" w:cs="Aptos"/>
                <w:b/>
                <w:i w:val="0"/>
                <w:sz w:val="24"/>
              </w:rPr>
              <w:t xml:space="preserve">Owner: </w:t>
            </w:r>
            <w:r>
              <w:rPr>
                <w:rFonts w:ascii="Aptos" w:hAnsi="Aptos" w:cs="Aptos"/>
                <w:b w:val="0"/>
                <w:i w:val="0"/>
                <w:sz w:val="24"/>
              </w:rPr>
              <w:t>Cybersecurity &amp; Privacy Lead</w:t>
            </w:r>
          </w:p>
          <w:p>
            <w:pPr>
              <w:spacing w:after="20"/>
            </w:pPr>
            <w:r>
              <w:rPr>
                <w:rFonts w:ascii="Aptos" w:hAnsi="Aptos" w:cs="Aptos"/>
                <w:b/>
                <w:i w:val="0"/>
                <w:sz w:val="24"/>
              </w:rPr>
              <w:t xml:space="preserve">Classification: </w:t>
            </w:r>
            <w:r>
              <w:rPr>
                <w:rFonts w:ascii="Aptos" w:hAnsi="Aptos" w:cs="Aptos"/>
                <w:b w:val="0"/>
                <w:i w:val="0"/>
                <w:sz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addendum sets the additional handling that applies to Criminal Justice Information (CJI) and other CJIS-regulated data, on top of the Agency's base data classification. It extends the Data Classification Policy and the Cybersecurity &amp; Privacy Policy and does not stand alone. In Indiana, CJIS-regulated data is reached through IDACS. This addendum names the CJIS Security Policy handling that applies; it does not restate it.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personnel and vendors with access to CJIS-regulated data or to IDACS.</w:t>
      </w:r>
    </w:p>
    <w:p>
      <w:pPr>
        <w:pStyle w:val="ListParagraph"/>
        <w:numPr>
          <w:ilvl w:val="0"/>
          <w:numId w:val="2"/>
        </w:numPr>
        <w:spacing w:after="60"/>
      </w:pPr>
      <w:r>
        <w:rPr>
          <w:rFonts w:ascii="Aptos" w:cs="Aptos" w:eastAsia="Aptos" w:hAnsi="Aptos"/>
          <w:b w:val="false"/>
          <w:bCs w:val="false"/>
          <w:i w:val="false"/>
          <w:iCs w:val="false"/>
          <w:sz w:val="24"/>
          <w:szCs w:val="24"/>
        </w:rPr>
        <w:t>Covers: Criminal Justice Information (CJI) at rest, in transit, in use, and in disposal, wherever it is reached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systems that neither store nor access CJIS-regulated data.</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CJI (Criminal Justice Information): the data reached through IDACS and NCIC that the CJIS Security Policy protects.</w:t>
      </w:r>
    </w:p>
    <w:p>
      <w:pPr>
        <w:spacing w:after="120" w:before="0"/>
      </w:pPr>
      <w:r>
        <w:rPr>
          <w:rFonts w:ascii="Aptos" w:hAnsi="Aptos" w:cs="Aptos"/>
          <w:b w:val="0"/>
          <w:i w:val="0"/>
          <w:sz w:val="24"/>
        </w:rPr>
        <w:t>CHRI (Criminal History Record Information): the subset of CJI describing an individual's criminal history; handled at the most protective level.</w:t>
      </w:r>
    </w:p>
    <w:p>
      <w:pPr>
        <w:pStyle w:val="Heading2"/>
        <w:spacing w:after="100" w:before="220"/>
      </w:pPr>
      <w:r>
        <w:rPr>
          <w:rFonts w:ascii="Aptos" w:cs="Aptos" w:eastAsia="Aptos" w:hAnsi="Aptos"/>
          <w:b/>
          <w:bCs/>
          <w:color w:val="1B3A5C"/>
          <w:sz w:val="26"/>
          <w:szCs w:val="26"/>
        </w:rPr>
        <w:t xml:space="preserve">4. Policy Statement</w:t>
      </w:r>
    </w:p>
    <w:p>
      <w:pPr>
        <w:pStyle w:val="ListParagraph"/>
        <w:spacing w:after="60"/>
      </w:pPr>
      <w:r>
        <w:rPr>
          <w:rFonts w:ascii="Aptos" w:cs="Aptos" w:eastAsia="Aptos" w:hAnsi="Aptos"/>
          <w:b w:val="false"/>
          <w:bCs w:val="false"/>
          <w:i w:val="false"/>
          <w:iCs w:val="false"/>
          <w:sz w:val="24"/>
          <w:szCs w:val="24"/>
        </w:rPr>
        <w:t>1. The Agency shall classify CJIS-regulated data at the level set in the Data Classification Policy, at minimum Restricted, and apply the additional CJIS Security Policy handling in this addendum on top of that classification.</w:t>
      </w:r>
    </w:p>
    <w:p>
      <w:pPr>
        <w:pStyle w:val="ListParagraph"/>
        <w:spacing w:after="60"/>
      </w:pPr>
      <w:r>
        <w:rPr>
          <w:rFonts w:ascii="Aptos" w:cs="Aptos" w:eastAsia="Aptos" w:hAnsi="Aptos"/>
          <w:b w:val="false"/>
          <w:bCs w:val="false"/>
          <w:i w:val="false"/>
          <w:iCs w:val="false"/>
          <w:sz w:val="24"/>
          <w:szCs w:val="24"/>
        </w:rPr>
        <w:t>2. The Agency shall protect CJI at rest and in transit using encryption that meets the Encryption Standards Document, and shall store, transport, and destroy CJI and the media that holds it under the Document Handling Standard.</w:t>
      </w:r>
    </w:p>
    <w:p>
      <w:pPr>
        <w:pStyle w:val="ListParagraph"/>
        <w:spacing w:after="60"/>
      </w:pPr>
      <w:r>
        <w:rPr>
          <w:rFonts w:ascii="Aptos" w:cs="Aptos" w:eastAsia="Aptos" w:hAnsi="Aptos"/>
          <w:b w:val="false"/>
          <w:bCs w:val="false"/>
          <w:i w:val="false"/>
          <w:iCs w:val="false"/>
          <w:sz w:val="24"/>
          <w:szCs w:val="24"/>
        </w:rPr>
        <w:t>3. The Agency shall restrict access to CJI to personnel who have completed CJIS Security Awareness Training and the personnel screening required by the Background Check &amp; Screening Policy, and shall authorize that access through the Access Control Policy.</w:t>
      </w:r>
    </w:p>
    <w:p>
      <w:pPr>
        <w:pStyle w:val="ListParagraph"/>
        <w:spacing w:after="60"/>
      </w:pPr>
      <w:r>
        <w:rPr>
          <w:rFonts w:ascii="Aptos" w:hAnsi="Aptos" w:cs="Aptos"/>
          <w:b w:val="0"/>
          <w:i w:val="0"/>
          <w:sz w:val="24"/>
        </w:rPr>
        <w:t>4. The Agency shall log access to CJI and retain those logs for at least the CJIS Security Policy minimum, as set in the Log Retention Schedule.</w:t>
      </w:r>
    </w:p>
    <w:p>
      <w:pPr>
        <w:pStyle w:val="ListParagraph"/>
        <w:spacing w:after="60"/>
      </w:pPr>
      <w:r>
        <w:rPr>
          <w:rFonts w:ascii="Aptos" w:hAnsi="Aptos" w:cs="Aptos"/>
          <w:b w:val="0"/>
          <w:i w:val="0"/>
          <w:sz w:val="24"/>
        </w:rPr>
        <w:t>5. The Agency shall bind any vendor with access to CJI to CJIS Security Policy handling through the Third-Party Access Agreement, including the CJIS Security Addendum and personnel screening.</w:t>
      </w:r>
    </w:p>
    <w:p>
      <w:pPr>
        <w:pStyle w:val="ListParagraph"/>
        <w:spacing w:after="60"/>
      </w:pPr>
      <w:r>
        <w:rPr>
          <w:rFonts w:ascii="Aptos" w:hAnsi="Aptos" w:cs="Aptos"/>
          <w:b w:val="0"/>
          <w:i w:val="0"/>
          <w:sz w:val="24"/>
        </w:rPr>
        <w:t>6. Personnel are responsible for handling CJI only on authorized systems and for reporting any suspected unauthorized disclosure under the Incident Response Plan.</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Owns this addendum. Ensures CJIS obligations are met and the named TAC and LASO assignments stay current.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IDACS TAC / LASO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The Terminal Agency Coordinator and Local Agency Security Officer. Administer IDACS access, implement CJIS controls, and report incidents to the CJIS Systems Officer.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County IT Administrator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Apply the technical controls: encryption of CJI, access restriction, and access logging.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Handle CJI only on authorized systems and only after required training and screening. Report suspected disclosure.</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Compliance with this addendum is monitored by the Local Agency Security Officer (LASO) and reported to the Director. A CJIS handling violation is treated as a security incident under the Incident Response Plan and may trigger notification of the CJIS Systems Officer and suspension of IDACS access.</w:t>
      </w:r>
    </w:p>
    <w:p>
      <w:pPr>
        <w:pStyle w:val="Heading2"/>
        <w:spacing w:after="100" w:before="220"/>
      </w:pPr>
      <w:r>
        <w:rPr>
          <w:rFonts w:ascii="Aptos" w:cs="Aptos" w:eastAsia="Aptos" w:hAnsi="Aptos"/>
          <w:b/>
          <w:bCs/>
          <w:color w:val="1B3A5C"/>
          <w:sz w:val="26"/>
          <w:szCs w:val="26"/>
        </w:rPr>
        <w:t>7. No Exceptions</w:t>
      </w:r>
    </w:p>
    <w:p>
      <w:pPr>
        <w:spacing w:after="120" w:before="0"/>
      </w:pPr>
      <w:r>
        <w:rPr>
          <w:rFonts w:ascii="Aptos" w:cs="Aptos" w:eastAsia="Aptos" w:hAnsi="Aptos"/>
          <w:b w:val="false"/>
          <w:bCs w:val="false"/>
          <w:i w:val="false"/>
          <w:iCs w:val="false"/>
          <w:sz w:val="24"/>
          <w:szCs w:val="24"/>
        </w:rPr>
        <w:t>There is no exception process. CJIS Security Policy handling is mandatory for all CJIS-regulated data. Where a system cannot meet a CJIS requirement, it does not store or access CJIS-regulated data until it can.</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addendum is reviewed at least annually, and after any change to the CJIS Security Policy or IDACS requirements, by the Cybersecurity &amp; Privacy Lead.</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One person, often the director, is the IDACS TAC and handles CJI by hand. Access stays limited to the few authorized users; screening and training are tracked on paper. County or State Police IDACS support supplies the technical controls.</w:t>
            </w:r>
          </w:p>
        </w:tc>
      </w:tr>
    </w:tbl>
    <w:p>
      <w:pPr>
        <w:pStyle w:val="Heading2"/>
        <w:spacing w:after="100" w:before="22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40" w:before="0"/>
            </w:pPr>
            <w:r>
              <w:rPr>
                <w:rFonts w:ascii="Aptos" w:hAnsi="Aptos" w:cs="Aptos"/>
                <w:b w:val="0"/>
                <w:i w:val="0"/>
                <w:sz w:val="24"/>
              </w:rPr>
              <w:t>NENA-STA-040.2-2024: §4.1.4, §4.2.2, §4.2.5</w:t>
            </w:r>
          </w:p>
          <w:p>
            <w:pPr>
              <w:spacing w:after="40" w:before="0"/>
            </w:pPr>
            <w:r>
              <w:rPr>
                <w:rFonts w:ascii="Aptos" w:hAnsi="Aptos" w:cs="Aptos"/>
                <w:b w:val="0"/>
                <w:i w:val="0"/>
                <w:sz w:val="24"/>
              </w:rPr>
              <w:t>NIST SP 800-53 Rev. 5: AC-3, AC-21, MP-4, SC-8, SC-28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240 IAC 5: IDACS Security</w:t>
            </w:r>
          </w:p>
          <w:p>
            <w:pPr>
              <w:spacing w:after="0" w:before="0"/>
            </w:pPr>
            <w:r>
              <w:rPr>
                <w:rFonts w:ascii="Aptos" w:hAnsi="Aptos" w:cs="Aptos"/>
                <w:b w:val="0"/>
                <w:i w:val="0"/>
                <w:sz w:val="24"/>
              </w:rPr>
              <w:t>CJIS Security Policy v5.9: §5.5, §5.9, §5.10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County IT Administrator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Cybersecurity &amp; Privacy Lead</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hickory-seal.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