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Backup Call-Handling / Dispatch Continuity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Wabash Valley Communications</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the Executive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2026-03-01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2027-03-01</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Operations Supervisor   </w:t>
            </w:r>
            <w:r>
              <w:rPr>
                <w:rFonts w:ascii="Aptos" w:cs="Aptos" w:eastAsia="Aptos" w:hAnsi="Aptos"/>
                <w:b w:val="false"/>
                <w:bCs w:val="false"/>
                <w:i/>
                <w:iCs/>
                <w:color w:val="595959"/>
                <w:sz w:val="24"/>
                <w:szCs w:val="24"/>
              </w:rPr>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Restricted</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This procedure keeps 9-1-1 call handling and dispatch running when CAD or the primary call-handling system fails. It gives dispatchers the triggers, steps, and roles to fall back to manual operation and later return to normal, so calls are not dropped during an outage or cyber incident.</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Applies to: all dispatchers, dispatch supervisors, the on-duty supervisor, and county or vendor IT supporting call handling.</w:t>
      </w:r>
    </w:p>
    <w:p>
      <w:pPr>
        <w:pStyle w:val="ListParagraph"/>
        <w:numPr>
          <w:ilvl w:val="0"/>
          <w:numId w:val="2"/>
        </w:numPr>
        <w:spacing w:after="60"/>
      </w:pPr>
      <w:r>
        <w:rPr>
          <w:rFonts w:ascii="Aptos" w:cs="Aptos" w:eastAsia="Aptos" w:hAnsi="Aptos"/>
          <w:b w:val="false"/>
          <w:bCs w:val="false"/>
          <w:i w:val="false"/>
          <w:iCs w:val="false"/>
          <w:sz w:val="24"/>
          <w:szCs w:val="24"/>
        </w:rPr>
        <w:t>Covers: continuing to receive and dispatch 9-1-1 calls when CAD, the primary call-handling application, ANI/ALI, or the ESInet connection is unavailable.</w:t>
      </w:r>
    </w:p>
    <w:p>
      <w:pPr>
        <w:pStyle w:val="ListParagraph"/>
        <w:numPr>
          <w:ilvl w:val="0"/>
          <w:numId w:val="2"/>
        </w:numPr>
        <w:spacing w:after="60"/>
      </w:pPr>
      <w:r>
        <w:rPr>
          <w:rFonts w:ascii="Aptos" w:cs="Aptos" w:eastAsia="Aptos" w:hAnsi="Aptos"/>
          <w:b w:val="false"/>
          <w:bCs w:val="false"/>
          <w:i w:val="false"/>
          <w:iCs w:val="false"/>
          <w:sz w:val="24"/>
          <w:szCs w:val="24"/>
        </w:rPr>
        <w:t>Excludes: full facility evacuation and relocation, which is handled by the Continuity of Operations Plan.</w:t>
      </w:r>
    </w:p>
    <w:p>
      <w:pPr>
        <w:pStyle w:val="Heading2"/>
        <w:spacing w:after="100" w:before="220"/>
      </w:pPr>
      <w:r>
        <w:rPr>
          <w:rFonts w:ascii="Aptos" w:cs="Aptos" w:eastAsia="Aptos" w:hAnsi="Aptos"/>
          <w:b/>
          <w:bCs/>
          <w:color w:val="1B3A5C"/>
          <w:sz w:val="26"/>
          <w:szCs w:val="26"/>
        </w:rPr>
        <w:t>3. Activation Triggers</w:t>
      </w:r>
    </w:p>
    <w:p>
      <w:pPr>
        <w:pStyle w:val="ListParagraph"/>
        <w:numPr>
          <w:ilvl w:val="0"/>
          <w:numId w:val="3"/>
        </w:numPr>
        <w:spacing w:after="60"/>
      </w:pPr>
      <w:r>
        <w:rPr>
          <w:rFonts w:ascii="Aptos" w:cs="Aptos" w:eastAsia="Aptos" w:hAnsi="Aptos"/>
          <w:b w:val="false"/>
          <w:bCs w:val="false"/>
          <w:i w:val="false"/>
          <w:iCs w:val="false"/>
          <w:sz w:val="24"/>
          <w:szCs w:val="24"/>
        </w:rPr>
        <w:t>CAD is down, frozen, or showing data that cannot be trusted.</w:t>
      </w:r>
    </w:p>
    <w:p>
      <w:pPr>
        <w:pStyle w:val="ListParagraph"/>
        <w:numPr>
          <w:ilvl w:val="0"/>
          <w:numId w:val="3"/>
        </w:numPr>
        <w:spacing w:after="60"/>
      </w:pPr>
      <w:r>
        <w:rPr>
          <w:rFonts w:ascii="Aptos" w:cs="Aptos" w:eastAsia="Aptos" w:hAnsi="Aptos"/>
          <w:b w:val="false"/>
          <w:bCs w:val="false"/>
          <w:i w:val="false"/>
          <w:iCs w:val="false"/>
          <w:sz w:val="24"/>
          <w:szCs w:val="24"/>
        </w:rPr>
        <w:t>The primary call-handling application will not take or route calls.</w:t>
      </w:r>
    </w:p>
    <w:p>
      <w:pPr>
        <w:pStyle w:val="ListParagraph"/>
        <w:numPr>
          <w:ilvl w:val="0"/>
          <w:numId w:val="3"/>
        </w:numPr>
        <w:spacing w:after="60"/>
      </w:pPr>
      <w:r>
        <w:rPr>
          <w:rFonts w:ascii="Aptos" w:cs="Aptos" w:eastAsia="Aptos" w:hAnsi="Aptos"/>
          <w:b w:val="false"/>
          <w:bCs w:val="false"/>
          <w:i w:val="false"/>
          <w:iCs w:val="false"/>
          <w:sz w:val="24"/>
          <w:szCs w:val="24"/>
        </w:rPr>
        <w:t>ANI/ALI or caller location data is lost while calls are still arriving.</w:t>
      </w:r>
    </w:p>
    <w:p>
      <w:pPr>
        <w:pStyle w:val="ListParagraph"/>
        <w:numPr>
          <w:ilvl w:val="0"/>
          <w:numId w:val="3"/>
        </w:numPr>
        <w:spacing w:after="60"/>
      </w:pPr>
      <w:r>
        <w:rPr>
          <w:rFonts w:ascii="Aptos" w:cs="Aptos" w:eastAsia="Aptos" w:hAnsi="Aptos"/>
          <w:b w:val="false"/>
          <w:bCs w:val="false"/>
          <w:i w:val="false"/>
          <w:iCs w:val="false"/>
          <w:sz w:val="24"/>
          <w:szCs w:val="24"/>
        </w:rPr>
        <w:t>The ESInet or carrier connection to the center drops.</w:t>
      </w:r>
    </w:p>
    <w:p>
      <w:pPr>
        <w:pStyle w:val="ListParagraph"/>
        <w:numPr>
          <w:ilvl w:val="0"/>
          <w:numId w:val="3"/>
        </w:numPr>
        <w:spacing w:after="60"/>
      </w:pPr>
      <w:r>
        <w:rPr>
          <w:rFonts w:ascii="Aptos" w:cs="Aptos" w:eastAsia="Aptos" w:hAnsi="Aptos"/>
          <w:b w:val="false"/>
          <w:bCs w:val="false"/>
          <w:i w:val="false"/>
          <w:iCs w:val="false"/>
          <w:sz w:val="24"/>
          <w:szCs w:val="24"/>
        </w:rPr>
        <w:t>A cyber incident, power event, or telephony failure degrades call handling, or IT or the supervisor directs a fallback.</w:t>
      </w:r>
    </w:p>
    <w:p>
      <w:pPr>
        <w:spacing w:after="120" w:before="0"/>
      </w:pPr>
      <w:r>
        <w:rPr>
          <w:rFonts w:ascii="Aptos" w:cs="Aptos" w:eastAsia="Aptos" w:hAnsi="Aptos"/>
          <w:b w:val="false"/>
          <w:bCs w:val="false"/>
          <w:i w:val="false"/>
          <w:iCs w:val="false"/>
          <w:sz w:val="24"/>
          <w:szCs w:val="24"/>
        </w:rPr>
        <w:t>Any dispatcher who sees a trigger starts this procedure and tells the on-duty supervisor. No one waits for permission to keep taking calls.</w:t>
      </w:r>
    </w:p>
    <w:p>
      <w:pPr>
        <w:pStyle w:val="Heading2"/>
        <w:spacing w:after="100" w:before="220"/>
      </w:pPr>
      <w:r>
        <w:rPr>
          <w:rFonts w:ascii="Aptos" w:cs="Aptos" w:eastAsia="Aptos" w:hAnsi="Aptos"/>
          <w:b/>
          <w:bCs/>
          <w:color w:val="1B3A5C"/>
          <w:sz w:val="26"/>
          <w:szCs w:val="26"/>
        </w:rPr>
        <w:t>4. Prerequisites</w:t>
      </w:r>
    </w:p>
    <w:p>
      <w:pPr>
        <w:pStyle w:val="ListParagraph"/>
        <w:numPr>
          <w:ilvl w:val="0"/>
          <w:numId w:val="3"/>
        </w:numPr>
        <w:spacing w:after="60"/>
      </w:pPr>
      <w:r>
        <w:rPr>
          <w:rFonts w:ascii="Aptos" w:cs="Aptos" w:eastAsia="Aptos" w:hAnsi="Aptos"/>
          <w:b w:val="false"/>
          <w:bCs w:val="false"/>
          <w:i w:val="false"/>
          <w:iCs w:val="false"/>
          <w:sz w:val="24"/>
          <w:szCs w:val="24"/>
        </w:rPr>
        <w:t>Manual call-taking materials at each position: call-log forms, pens, and current run cards or map books.</w:t>
      </w:r>
    </w:p>
    <w:p>
      <w:pPr>
        <w:pStyle w:val="ListParagraph"/>
        <w:numPr>
          <w:ilvl w:val="0"/>
          <w:numId w:val="3"/>
        </w:numPr>
        <w:spacing w:after="60"/>
      </w:pPr>
      <w:r>
        <w:rPr>
          <w:rFonts w:ascii="Aptos" w:cs="Aptos" w:eastAsia="Aptos" w:hAnsi="Aptos"/>
          <w:b w:val="false"/>
          <w:bCs w:val="false"/>
          <w:i w:val="false"/>
          <w:iCs w:val="false"/>
          <w:sz w:val="24"/>
          <w:szCs w:val="24"/>
        </w:rPr>
        <w:t>A working radio channel and backup contact numbers for responding agencies and the on-call director.</w:t>
      </w:r>
    </w:p>
    <w:p>
      <w:pPr>
        <w:pStyle w:val="ListParagraph"/>
        <w:numPr>
          <w:ilvl w:val="0"/>
          <w:numId w:val="3"/>
        </w:numPr>
        <w:spacing w:after="60"/>
      </w:pPr>
      <w:r>
        <w:rPr>
          <w:rFonts w:ascii="Aptos" w:cs="Aptos" w:eastAsia="Aptos" w:hAnsi="Aptos"/>
          <w:b w:val="false"/>
          <w:bCs w:val="false"/>
          <w:i w:val="false"/>
          <w:iCs w:val="false"/>
          <w:sz w:val="24"/>
          <w:szCs w:val="24"/>
        </w:rPr>
        <w:t>A current copy of the Incident Notification &amp; Escalation Contact List.</w:t>
      </w:r>
    </w:p>
    <w:p>
      <w:pPr>
        <w:pStyle w:val="Heading2"/>
        <w:spacing w:after="100" w:before="220"/>
      </w:pPr>
      <w:r>
        <w:rPr>
          <w:rFonts w:ascii="Aptos" w:cs="Aptos" w:eastAsia="Aptos" w:hAnsi="Aptos"/>
          <w:b/>
          <w:bCs/>
          <w:color w:val="1B3A5C"/>
          <w:sz w:val="26"/>
          <w:szCs w:val="26"/>
        </w:rPr>
        <w:t>5. Procedure Steps</w:t>
      </w:r>
    </w:p>
    <w:p>
      <w:pPr>
        <w:spacing w:after="120" w:before="0"/>
      </w:pPr>
      <w:r>
        <w:rPr>
          <w:rFonts w:ascii="Aptos" w:cs="Aptos" w:eastAsia="Aptos" w:hAnsi="Aptos"/>
          <w:b/>
          <w:bCs w:val="false"/>
          <w:i w:val="false"/>
          <w:iCs w:val="false"/>
          <w:sz w:val="24"/>
          <w:szCs w:val="24"/>
        </w:rPr>
        <w:t>Phase 1: Immediate fallback (first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Announce on the primary radio channel that the center is on manual call handling.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On-duty supervisor</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Switch to manual call-taking: log each call on paper with time, location, call-back number, and nature.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Dispatchers</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 by radio, using run cards or the map book to select the responding unit.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Dispatchers</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Notify the director and county or vendor IT that a fallback is in effect, using the Incident Notification &amp; Escalation Contact List.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On-duty supervisor</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If the trigger is a suspected cyber incident, start the Incident Response Plan in parallel.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On-duty supervisor</w:t>
            </w:r>
          </w:p>
        </w:tc>
      </w:tr>
    </w:tbl>
    <w:p>
      <w:pPr>
        <w:spacing w:after="120" w:before="0"/>
      </w:pPr>
      <w:r>
        <w:rPr>
          <w:rFonts w:ascii="Aptos" w:cs="Aptos" w:eastAsia="Aptos" w:hAnsi="Aptos"/>
          <w:b/>
          <w:bCs w:val="false"/>
          <w:i w:val="false"/>
          <w:iCs w:val="false"/>
          <w:sz w:val="24"/>
          <w:szCs w:val="24"/>
        </w:rPr>
        <w:t>Phase 2: Sustained manual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Keep every call on the paper log in time order; start a new sheet before the current one fills.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Dispatchers</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Track units and status on the status board or worksheet so unit availability stays visible without CAD.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Dispatchers</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Give the director a brief status update on a set interval until CAD is restored.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On-duty supervisor</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If call volume exceeds staffing, request mutual-aid or overflow help through the Overflow Routing Agreement.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On-duty supervisor</w:t>
            </w:r>
          </w:p>
        </w:tc>
      </w:tr>
    </w:tbl>
    <w:p>
      <w:pPr>
        <w:spacing w:after="120" w:before="0"/>
      </w:pPr>
      <w:r>
        <w:rPr>
          <w:rFonts w:ascii="Aptos" w:cs="Aptos" w:eastAsia="Aptos" w:hAnsi="Aptos"/>
          <w:b/>
          <w:bCs w:val="false"/>
          <w:i w:val="false"/>
          <w:iCs w:val="false"/>
          <w:sz w:val="24"/>
          <w:szCs w:val="24"/>
        </w:rPr>
        <w:t>Phase 3: Fail-back to CAD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Confirm CAD and the primary call-handling system are restored and trusted before returning to them.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or vendor IT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Return call-taking and dispatch to CAD, and announce normal operations on the radio channel.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On-duty supervisor</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Enter the paper-logged calls into CAD or RMS so the record is complete.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Dispatchers</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Record the outage start and end, the cause, and any lessons for the After-Action Report.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On-duty supervisor</w:t>
            </w:r>
          </w:p>
        </w:tc>
      </w:tr>
    </w:tbl>
    <w:p>
      <w:pPr>
        <w:pStyle w:val="Heading2"/>
        <w:spacing w:after="100" w:before="220"/>
      </w:pPr>
      <w:r>
        <w:rPr>
          <w:rFonts w:ascii="Aptos" w:cs="Aptos" w:eastAsia="Aptos" w:hAnsi="Aptos"/>
          <w:b/>
          <w:bCs/>
          <w:color w:val="1B3A5C"/>
          <w:sz w:val="26"/>
          <w:szCs w:val="26"/>
        </w:rPr>
        <w:t>6. Verification Criteria</w:t>
      </w:r>
    </w:p>
    <w:p>
      <w:pPr>
        <w:spacing w:after="120" w:before="0"/>
      </w:pPr>
      <w:r>
        <w:rPr>
          <w:rFonts w:ascii="Aptos" w:cs="Aptos" w:eastAsia="Aptos" w:hAnsi="Aptos"/>
          <w:b w:val="false"/>
          <w:bCs w:val="false"/>
          <w:i w:val="false"/>
          <w:iCs w:val="false"/>
          <w:sz w:val="24"/>
          <w:szCs w:val="24"/>
        </w:rPr>
        <w:t>Confirm that calls kept being received and dispatched with no dropped call during the outage; that every call was captured on the paper log and later reconciled into CAD or RMS; and that the outage, its cause, and any lessons were recorded for the After-Action Report.</w:t>
      </w:r>
    </w:p>
    <w:p>
      <w:pPr>
        <w:pStyle w:val="Heading2"/>
        <w:spacing w:after="100" w:before="220"/>
      </w:pPr>
      <w:r>
        <w:rPr>
          <w:rFonts w:ascii="Aptos" w:cs="Aptos" w:eastAsia="Aptos" w:hAnsi="Aptos"/>
          <w:b/>
          <w:bCs/>
          <w:color w:val="1B3A5C"/>
          <w:sz w:val="26"/>
          <w:szCs w:val="26"/>
        </w:rPr>
        <w:t>7. Related Documents</w:t>
      </w:r>
    </w:p>
    <w:p>
      <w:pPr>
        <w:spacing w:after="120" w:before="0"/>
      </w:pPr>
      <w:r>
        <w:rPr>
          <w:rFonts w:ascii="Aptos" w:cs="Aptos" w:eastAsia="Aptos" w:hAnsi="Aptos"/>
          <w:b w:val="false"/>
          <w:bCs w:val="false"/>
          <w:i w:val="false"/>
          <w:iCs w:val="false"/>
          <w:sz w:val="24"/>
          <w:szCs w:val="24"/>
        </w:rPr>
        <w:t>Incident Response Plan; Continuity of Operations Plan; TDoS / DoS Response Procedure; Overflow Routing Agreement (Mutual Aid); Incident Notification &amp; Escalation Contact List.</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Several positions across two shifts. Assign one supervisor to run the fallback, keep pre-printed log packs at each position, and rehearse the fail-back to CAD so call reconciliation is routine.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NENA-STA-040.2-2024: §5.3, §5.6.5, §5.7</w:t>
            </w:r>
          </w:p>
          <w:p>
            <w:pPr>
              <w:spacing w:after="40" w:before="0"/>
            </w:pPr>
            <w:r>
              <w:rPr>
                <w:rFonts w:ascii="Aptos" w:cs="Aptos" w:eastAsia="Aptos" w:hAnsi="Aptos"/>
                <w:b w:val="false"/>
                <w:bCs w:val="false"/>
                <w:i w:val="false"/>
                <w:iCs w:val="false"/>
                <w:sz w:val="24"/>
                <w:szCs w:val="24"/>
              </w:rPr>
              <w:t>NIST SP 800-53 Rev. 5: CP-2, CP-8, IR-4</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Executive 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Operations Supervisor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2026-03-01</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Operations Supervisor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Bdr>
        <w:bottom w:val="single" w:sz="6" w:space="6" w:color="1B3A5C"/>
      </w:pBdr>
    </w:pPr>
    <w:r>
      <w:drawing>
        <wp:inline xmlns:a="http://schemas.openxmlformats.org/drawingml/2006/main" xmlns:pic="http://schemas.openxmlformats.org/drawingml/2006/picture">
          <wp:extent cx="822960" cy="822960"/>
          <wp:docPr id="1" name="Picture 1"/>
          <wp:cNvGraphicFramePr>
            <a:graphicFrameLocks noChangeAspect="1"/>
          </wp:cNvGraphicFramePr>
          <a:graphic>
            <a:graphicData uri="http://schemas.openxmlformats.org/drawingml/2006/picture">
              <pic:pic>
                <pic:nvPicPr>
                  <pic:cNvPr id="0" name="seal-M.png"/>
                  <pic:cNvPicPr/>
                </pic:nvPicPr>
                <pic:blipFill>
                  <a:blip r:embed="rId1"/>
                  <a:stretch>
                    <a:fillRect/>
                  </a:stretch>
                </pic:blipFill>
                <pic:spPr>
                  <a:xfrm>
                    <a:off x="0" y="0"/>
                    <a:ext cx="822960" cy="822960"/>
                  </a:xfrm>
                  <a:prstGeom prst="rect"/>
                </pic:spPr>
              </pic:pic>
            </a:graphicData>
          </a:graphic>
        </wp:inline>
      </w:drawing>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2026-06-01T15:29:11.455Z</dcterms:created>
  <dcterms:modified xsi:type="dcterms:W3CDTF">2026-06-01T15:29:11.455Z</dcterms:modified>
</cp:coreProperties>
</file>

<file path=docProps/custom.xml><?xml version="1.0" encoding="utf-8"?>
<Properties xmlns="http://schemas.openxmlformats.org/officeDocument/2006/custom-properties" xmlns:vt="http://schemas.openxmlformats.org/officeDocument/2006/docPropsVTypes"/>
</file>