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ptos" w:cs="Aptos" w:eastAsia="Aptos" w:hAnsi="Aptos"/>
          <w:b/>
          <w:bCs/>
          <w:color w:val="1B3A5C"/>
          <w:sz w:val="40"/>
          <w:szCs w:val="40"/>
        </w:rPr>
        <w:t>Backup Policy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Authority: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Adopted by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>Tri-River Regional 911 Center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under the authority of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>the Executive Director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.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Version: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1.0   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Effective Date: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2026-03-15   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Next Review: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2027-03-15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Owner: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IT Operations Manager   </w:t>
            </w:r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595959"/>
                <w:sz w:val="24"/>
                <w:szCs w:val="24"/>
              </w:rPr>
            </w:r>
          </w:p>
          <w:p>
            <w:pPr>
              <w:spacing w:after="2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Classification: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Internal</w:t>
            </w:r>
          </w:p>
        </w:tc>
      </w:tr>
    </w:tbl>
    <w:p>
      <w:pPr>
        <w:spacing w:after="60"/>
      </w:pP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1. Purpose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This policy governs how Tri-River Regional 911 Center backs up its critical data so the center can recover from equipment failure, ransomware, accidental deletion, or loss of a facility. It sets what is backed up, how often, how long copies are kept, and how backup media is protected, and it names the role accountable for backups.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2. Scope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Applies to: all Tri-River Regional 911 Center personnel and any county or vendor IT responsible for backing up or restoring the center's systems and data.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Covers: all critical Tri-River Regional 911 Center data identified in the Master Asset Inventory and Asset Criticality Ranking Matrix, including call recordings, dispatch and CAD logs, and databases.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Excludes: systems another agency owns and backs up under a separate agreement.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3. Definitions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Critical data: the Agency data whose loss would stop or degrade 9-1-1 call handling or dispatch, as identified in the Asset Criticality Ranking Matrix, including call recordings, dispatch and CAD logs, and operational databases.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Immutable backup: a backup copy stored so it cannot be altered or deleted for a set retention period, using write-once media or locked cloud storage.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4. Policy Statement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ptos" w:cs="Aptos" w:eastAsia="Aptos" w:hAnsi="Aptos"/>
          <w:b w:val="0"/>
          <w:bCs w:val="false"/>
          <w:i w:val="false"/>
          <w:iCs w:val="false"/>
          <w:sz w:val="24"/>
          <w:szCs w:val="24"/>
        </w:rPr>
        <w:t>The Agency shall back up all critical data identified in the Master Asset Inventory and Asset Criticality Ranking Matrix.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ptos" w:cs="Aptos" w:eastAsia="Aptos" w:hAnsi="Aptos"/>
          <w:b w:val="0"/>
          <w:bCs w:val="false"/>
          <w:i w:val="false"/>
          <w:iCs w:val="false"/>
          <w:sz w:val="24"/>
          <w:szCs w:val="24"/>
        </w:rPr>
        <w:t>The Agency shall run backups often enough to meet the recovery point objectives set in the RTO/RPO Documentation, and shall record the schedule in the Backup Schedule &amp; Media Inventory.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ptos" w:cs="Aptos" w:eastAsia="Aptos" w:hAnsi="Aptos"/>
          <w:b w:val="0"/>
          <w:bCs w:val="false"/>
          <w:i w:val="false"/>
          <w:iCs w:val="false"/>
          <w:sz w:val="24"/>
          <w:szCs w:val="24"/>
        </w:rPr>
        <w:t>The Agency shall keep backup copies for a defined retention period that meets operational and legal needs, consistent with the Data Retention Schedule.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ptos" w:cs="Aptos" w:eastAsia="Aptos" w:hAnsi="Aptos"/>
          <w:b w:val="0"/>
          <w:bCs w:val="false"/>
          <w:i w:val="false"/>
          <w:iCs w:val="false"/>
          <w:sz w:val="24"/>
          <w:szCs w:val="24"/>
        </w:rPr>
        <w:t>The Agency shall encrypt backup media at rest, following the Encryption Standards Document.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ptos" w:cs="Aptos" w:eastAsia="Aptos" w:hAnsi="Aptos"/>
          <w:b w:val="0"/>
          <w:bCs w:val="false"/>
          <w:i w:val="false"/>
          <w:iCs w:val="false"/>
          <w:sz w:val="24"/>
          <w:szCs w:val="24"/>
        </w:rPr>
        <w:t>The Agency shall keep at least one backup copy isolated from the systems it protects, using immutable or write-once storage where available, so a single failure or ransomware event cannot destroy both the systems and their backups.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ptos" w:cs="Aptos" w:eastAsia="Aptos" w:hAnsi="Aptos"/>
          <w:b w:val="0"/>
          <w:bCs w:val="false"/>
          <w:i w:val="false"/>
          <w:iCs w:val="false"/>
          <w:sz w:val="24"/>
          <w:szCs w:val="24"/>
        </w:rPr>
        <w:t>The Agency shall store at least one backup copy off-site or off-system, separated from the primary location it protects.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ptos" w:cs="Aptos" w:eastAsia="Aptos" w:hAnsi="Aptos"/>
          <w:b w:val="0"/>
          <w:bCs w:val="false"/>
          <w:i w:val="false"/>
          <w:iCs w:val="false"/>
          <w:sz w:val="24"/>
          <w:szCs w:val="24"/>
        </w:rPr>
        <w:t>The Agency shall verify backups through integrity checks and confirm they can be restored, as recorded in the Restoration Test Records.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ptos" w:cs="Aptos" w:eastAsia="Aptos" w:hAnsi="Aptos"/>
          <w:b w:val="0"/>
          <w:bCs w:val="false"/>
          <w:i w:val="false"/>
          <w:iCs w:val="false"/>
          <w:sz w:val="24"/>
          <w:szCs w:val="24"/>
        </w:rPr>
        <w:t>Where backup sets contain criminal justice or personally identifiable information, the Agency shall apply the media-protection and encryption handling required by the CJIS Security Policy and the Data Classification Policy to those copies and their storage.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ptos" w:cs="Aptos" w:eastAsia="Aptos" w:hAnsi="Aptos"/>
          <w:b w:val="0"/>
          <w:bCs w:val="false"/>
          <w:i w:val="false"/>
          <w:iCs w:val="false"/>
          <w:sz w:val="24"/>
          <w:szCs w:val="24"/>
        </w:rPr>
        <w:t>The Executive Director owns the Agency's backups, confirms this policy is followed, and is accountable for backup and recovery readiness.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5. Roles &amp; Responsibilities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Role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Responsibility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Executive Director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Owns this policy and the Agency's backups. Confirms backups run, are protected, and can be restored. Approves the retention period and any exception.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IT Operations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Configures and runs backup jobs, protects and stores backup media, and performs restoration tests. Keeps the Backup Schedule &amp; Media Inventory and Restoration Test Records current.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All personnel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Save Agency records to backed-up systems and storage, not to local or personal devices, so their work is captured by Agency backups.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6. Enforcement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The Executive Director monitors compliance with this policy. A backup that is missing, unprotected, or unverified is recorded as a finding in the Risk / Finding Register. Violations are handled under the agency's disciplinary process.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7. Exceptions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Exceptions require written approval from the Executive Director. A request must state the data or system affected, the reason, the compensating protection, and an expiry date. Exceptions are reviewed at least annually.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8. Review Schedule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This policy is reviewed at least annually and after any significant change to the Agency's systems, data, or recovery objectives, by the Executive Director.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Profile Scaling Notes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One short paragraph per profile: what minimum-viable looks like for that reader and where to scale up. Keep all three if this ships as a template; delete the profiles that do not apply once adopted.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PSAP Profile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Minimum-viable implementation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Large (25+, dedicated IT/security)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Backups run to immutable, geo-distributed storage from a system of record, with automated integrity checks, monitored job status, and scheduled restore drills across critical systems.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1B3A5C"/>
                <w:sz w:val="24"/>
                <w:szCs w:val="24"/>
              </w:rPr>
              <w:t xml:space="preserve">Source Authority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NENA-STA-040.2-2024: §5.7, §5.7.2, §5.7.2.1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NIST SP 800-53 Rev. 5: CP-6, CP-9, CP-10, MP-5, SC-28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CJIS Security Policy v5.9: §5.8 (Media Protection; where backup sets contain CJIS-regulated data, via IDACS)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Approval Signatures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360"/>
        <w:gridCol w:w="2600"/>
        <w:gridCol w:w="140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Role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Name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Signature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Executive Director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IT Operations Manager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Revision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600"/>
        <w:gridCol w:w="2200"/>
        <w:gridCol w:w="4260"/>
      </w:tblGrid>
      <w:tr>
        <w:trPr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Version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Author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Summary of Change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1.0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2026-03-15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IT Operations Manager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Initial issue</w:t>
            </w:r>
          </w:p>
        </w:tc>
      </w:tr>
    </w:tbl>
    <w:p>
      <w:pPr>
        <w:spacing w:after="60"/>
      </w:pP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ptos" w:cs="Aptos" w:eastAsia="Aptos" w:hAnsi="Aptos"/>
        <w:color w:val="595959"/>
        <w:sz w:val="18"/>
        <w:szCs w:val="18"/>
      </w:rPr>
      <w:t xml:space="preserve">Page </w:t>
    </w:r>
    <w:r>
      <w:rPr>
        <w:rFonts w:ascii="Aptos" w:cs="Aptos" w:eastAsia="Aptos" w:hAnsi="Aptos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ptos" w:cs="Aptos" w:eastAsia="Aptos" w:hAnsi="Aptos"/>
        <w:color w:val="595959"/>
        <w:sz w:val="18"/>
        <w:szCs w:val="18"/>
      </w:rPr>
      <w:t xml:space="preserve"> of </w:t>
    </w:r>
    <w:r>
      <w:rPr>
        <w:rFonts w:ascii="Aptos" w:cs="Aptos" w:eastAsia="Aptos" w:hAnsi="Aptos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  <w:pBdr>
        <w:bottom w:val="single" w:sz="6" w:space="6" w:color="1B3A5C"/>
      </w:pBdr>
    </w:pPr>
    <w:r>
      <w:drawing>
        <wp:inline xmlns:a="http://schemas.openxmlformats.org/drawingml/2006/main" xmlns:pic="http://schemas.openxmlformats.org/drawingml/2006/picture">
          <wp:extent cx="822960" cy="82296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seal-L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22960" cy="822960"/>
                  </a:xfrm>
                  <a:prstGeom prst="rect"/>
                </pic:spPr>
              </pic:pic>
            </a:graphicData>
          </a:graphic>
        </wp:inline>
      </w:drawing>
    </w:r>
  </w:p>
  <w:p>
    <w:r>
      <w:drawing>
        <wp:anchor xmlns:a="http://schemas.openxmlformats.org/drawingml/2006/main" behindDoc="1" distT="0" distB="0" distL="0" distR="0" simplePos="0" locked="0" layoutInCell="1" allowOverlap="1" relativeHeight="0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5943600" cy="5943600"/>
          <wp:effectExtent l="0" t="0" r="0" b="0"/>
          <wp:wrapNone/>
          <wp:docPr id="990" name="SampleWatermark"/>
          <wp:cNvGraphicFramePr/>
          <a:graphic xmlns:pic="http://schemas.openxmlformats.org/drawingml/2006/picture">
            <a:graphicData uri="http://schemas.openxmlformats.org/drawingml/2006/picture">
              <pic:pic>
                <pic:nvPicPr>
                  <pic:cNvPr id="0" name="_sample_wm.png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5943600" cy="59436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ptos" w:cs="Aptos" w:eastAsia="Aptos" w:hAnsi="Aptos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ptos" w:cs="Aptos" w:eastAsia="Aptos" w:hAnsi="Aptos"/>
      <w:b/>
      <w:bCs/>
      <w:color w:val="1B3A5C"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2026-06-01T15:29:11.401Z</dcterms:created>
  <dcterms:modified xsi:type="dcterms:W3CDTF">2026-06-01T15:29:11.401Z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