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System Access Request &amp; Approval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sz w:val="24"/>
                <w:szCs w:val="24"/>
                <w:b/>
              </w:rPr>
              <w:t xml:space="preserve">Requester and approver</w:t>
            </w:r>
          </w:p>
          <w:p>
            <w:pPr>
              <w:spacing w:after="60"/>
            </w:pPr>
            <w:r>
              <w:rPr>
                <w:rFonts w:ascii="Aptos" w:cs="Aptos" w:eastAsia="Aptos" w:hAnsi="Aptos"/>
                <w:sz w:val="24"/>
                <w:szCs w:val="24"/>
                <w:b/>
              </w:rPr>
              <w:t xml:space="preserve">Requester: </w:t>
            </w:r>
            <w:r>
              <w:rPr>
                <w:rFonts w:ascii="Aptos" w:cs="Aptos" w:eastAsia="Aptos" w:hAnsi="Aptos"/>
                <w:sz w:val="24"/>
                <w:szCs w:val="24"/>
              </w:rPr>
              <w:t xml:space="preserve">Rachel Kim, Full-time Dispatcher, Dispatch</w:t>
            </w:r>
          </w:p>
          <w:p>
            <w:pPr>
              <w:spacing w:after="60"/>
            </w:pPr>
            <w:r>
              <w:rPr>
                <w:rFonts w:ascii="Aptos" w:cs="Aptos" w:eastAsia="Aptos" w:hAnsi="Aptos"/>
                <w:sz w:val="24"/>
                <w:szCs w:val="24"/>
                <w:b/>
              </w:rPr>
              <w:t xml:space="preserve">Approver: </w:t>
            </w:r>
            <w:r>
              <w:rPr>
                <w:rFonts w:ascii="Aptos" w:cs="Aptos" w:eastAsia="Aptos" w:hAnsi="Aptos"/>
                <w:sz w:val="24"/>
                <w:szCs w:val="24"/>
              </w:rPr>
              <w:t xml:space="preserve">Director</w:t>
            </w:r>
            <w:r>
              <w:rPr>
                <w:rFonts w:ascii="Aptos" w:cs="Aptos" w:eastAsia="Aptos" w:hAnsi="Aptos"/>
                <w:sz w:val="24"/>
                <w:szCs w:val="24"/>
                <w:b/>
              </w:rPr>
              <w:t xml:space="preserve">      Provisioned by: </w:t>
            </w:r>
            <w:r>
              <w:rPr>
                <w:rFonts w:ascii="Aptos" w:cs="Aptos" w:eastAsia="Aptos" w:hAnsi="Aptos"/>
                <w:sz w:val="24"/>
                <w:szCs w:val="24"/>
              </w:rPr>
              <w:t xml:space="preserve">Shared County IT</w:t>
            </w:r>
          </w:p>
          <w:p>
            <w:pPr>
              <w:spacing w:after="60"/>
            </w:pPr>
            <w:r>
              <w:rPr>
                <w:rFonts w:ascii="Aptos" w:cs="Aptos" w:eastAsia="Aptos" w:hAnsi="Aptos"/>
                <w:sz w:val="24"/>
                <w:szCs w:val="24"/>
                <w:b/>
              </w:rPr>
              <w:t xml:space="preserve">Version: </w:t>
            </w:r>
            <w:r>
              <w:rPr>
                <w:rFonts w:ascii="Aptos" w:cs="Aptos" w:eastAsia="Aptos" w:hAnsi="Aptos"/>
                <w:sz w:val="24"/>
                <w:szCs w:val="24"/>
              </w:rPr>
              <w:t xml:space="preserve">1.0    </w:t>
            </w:r>
            <w:r>
              <w:rPr>
                <w:rFonts w:ascii="Aptos" w:cs="Aptos" w:eastAsia="Aptos" w:hAnsi="Aptos"/>
                <w:sz w:val="24"/>
                <w:szCs w:val="24"/>
                <w:b/>
              </w:rPr>
              <w:t xml:space="preserve">Effective Date: </w:t>
            </w:r>
            <w:r>
              <w:rPr>
                <w:rFonts w:ascii="Aptos" w:cs="Aptos" w:eastAsia="Aptos" w:hAnsi="Aptos"/>
                <w:sz w:val="24"/>
                <w:szCs w:val="24"/>
              </w:rPr>
              <w:t xml:space="preserve">2026-03-04    </w:t>
            </w:r>
            <w:r>
              <w:rPr>
                <w:rFonts w:ascii="Aptos" w:cs="Aptos" w:eastAsia="Aptos" w:hAnsi="Aptos"/>
                <w:sz w:val="24"/>
                <w:szCs w:val="24"/>
                <w:b/>
              </w:rPr>
              <w:t xml:space="preserve">Next Review: </w:t>
            </w:r>
            <w:r>
              <w:rPr>
                <w:rFonts w:ascii="Aptos" w:cs="Aptos" w:eastAsia="Aptos" w:hAnsi="Aptos"/>
                <w:sz w:val="24"/>
                <w:szCs w:val="24"/>
              </w:rPr>
              <w:t xml:space="preserve">2027-03-04</w:t>
            </w:r>
          </w:p>
          <w:p>
            <w:pPr>
              <w:spacing w:after="20"/>
            </w:pPr>
            <w:r>
              <w:rPr>
                <w:rFonts w:ascii="Aptos" w:cs="Aptos" w:eastAsia="Aptos" w:hAnsi="Aptos"/>
                <w:sz w:val="24"/>
                <w:szCs w:val="24"/>
                <w:b/>
              </w:rPr>
              <w:t xml:space="preserve">Classification: </w:t>
            </w:r>
            <w:r>
              <w:rPr>
                <w:rFonts w:ascii="Aptos" w:cs="Aptos" w:eastAsia="Aptos" w:hAnsi="Aptos"/>
                <w:sz w:val="24"/>
                <w:szCs w:val="24"/>
              </w:rPr>
              <w:t xml:space="preserve">Confidential / CJIS</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sz w:val="24"/>
          <w:szCs w:val="24"/>
        </w:rPr>
        <w:t>This form initiates, documents, and authorizes any grant or change of access to Wabash Valley Communications systems, including temporary elevation of privilege. It is the operational front end of the Access Control Policy; the completed form is the authorization record behind the access.</w:t>
      </w:r>
    </w:p>
    <w:p>
      <w:pPr>
        <w:pStyle w:val="Heading2"/>
        <w:spacing w:after="100" w:before="220"/>
      </w:pPr>
      <w:r>
        <w:rPr>
          <w:rFonts w:ascii="Aptos" w:cs="Aptos" w:eastAsia="Aptos" w:hAnsi="Aptos"/>
          <w:b/>
          <w:bCs/>
          <w:color w:val="1B3A5C"/>
          <w:sz w:val="26"/>
          <w:szCs w:val="26"/>
        </w:rPr>
        <w:t>2. Access Requested</w:t>
      </w:r>
    </w:p>
    <w:p>
      <w:pPr>
        <w:pStyle w:val="ListParagraph"/>
        <w:numPr>
          <w:ilvl w:val="0"/>
          <w:numId w:val="2"/>
        </w:numPr>
        <w:spacing w:after="60"/>
      </w:pPr>
      <w:r>
        <w:rPr>
          <w:rFonts w:ascii="Aptos" w:cs="Aptos" w:eastAsia="Aptos" w:hAnsi="Aptos"/>
          <w:sz w:val="24"/>
          <w:szCs w:val="24"/>
          <w:b/>
        </w:rPr>
        <w:t xml:space="preserve">Systems / applications: </w:t>
      </w:r>
      <w:r>
        <w:rPr>
          <w:rFonts w:ascii="Aptos" w:cs="Aptos" w:eastAsia="Aptos" w:hAnsi="Aptos"/>
          <w:sz w:val="24"/>
          <w:szCs w:val="24"/>
        </w:rPr>
        <w:t xml:space="preserve">CAD dispatch console and county email</w:t>
      </w:r>
    </w:p>
    <w:p>
      <w:pPr>
        <w:pStyle w:val="ListParagraph"/>
        <w:numPr>
          <w:ilvl w:val="0"/>
          <w:numId w:val="2"/>
        </w:numPr>
        <w:spacing w:after="60"/>
      </w:pPr>
      <w:r>
        <w:rPr>
          <w:rFonts w:ascii="Aptos" w:cs="Aptos" w:eastAsia="Aptos" w:hAnsi="Aptos"/>
          <w:sz w:val="24"/>
          <w:szCs w:val="24"/>
          <w:b/>
        </w:rPr>
        <w:t xml:space="preserve">Access level / role: </w:t>
      </w:r>
      <w:r>
        <w:rPr>
          <w:rFonts w:ascii="Aptos" w:cs="Aptos" w:eastAsia="Aptos" w:hAnsi="Aptos"/>
          <w:sz w:val="24"/>
          <w:szCs w:val="24"/>
        </w:rPr>
        <w:t xml:space="preserve">Dispatcher (standard call-taker role)</w:t>
      </w:r>
    </w:p>
    <w:p>
      <w:pPr>
        <w:pStyle w:val="ListParagraph"/>
        <w:numPr>
          <w:ilvl w:val="0"/>
          <w:numId w:val="2"/>
        </w:numPr>
        <w:spacing w:after="60"/>
      </w:pPr>
      <w:r>
        <w:rPr>
          <w:rFonts w:ascii="Aptos" w:cs="Aptos" w:eastAsia="Aptos" w:hAnsi="Aptos"/>
          <w:sz w:val="24"/>
          <w:szCs w:val="24"/>
          <w:b/>
        </w:rPr>
        <w:t xml:space="preserve">Business justification: </w:t>
      </w:r>
      <w:r>
        <w:rPr>
          <w:rFonts w:ascii="Aptos" w:cs="Aptos" w:eastAsia="Aptos" w:hAnsi="Aptos"/>
          <w:sz w:val="24"/>
          <w:szCs w:val="24"/>
        </w:rPr>
        <w:t xml:space="preserve">New full-time dispatcher; needs CAD and email for call-taking and dispatch across both shifts.</w:t>
      </w:r>
    </w:p>
    <w:p>
      <w:pPr>
        <w:pStyle w:val="ListParagraph"/>
        <w:numPr>
          <w:ilvl w:val="0"/>
          <w:numId w:val="2"/>
        </w:numPr>
        <w:spacing w:after="60"/>
      </w:pPr>
      <w:r>
        <w:rPr>
          <w:rFonts w:ascii="Aptos" w:cs="Aptos" w:eastAsia="Aptos" w:hAnsi="Aptos"/>
          <w:sz w:val="24"/>
          <w:szCs w:val="24"/>
          <w:b/>
        </w:rPr>
        <w:t xml:space="preserve">Duration: </w:t>
      </w:r>
      <w:r>
        <w:rPr>
          <w:rFonts w:ascii="Aptos" w:cs="Aptos" w:eastAsia="Aptos" w:hAnsi="Aptos"/>
          <w:sz w:val="24"/>
          <w:szCs w:val="24"/>
        </w:rPr>
        <w:t xml:space="preserve">Permanent (employment-based)</w:t>
      </w:r>
    </w:p>
    <w:p>
      <w:pPr>
        <w:pStyle w:val="ListParagraph"/>
        <w:numPr>
          <w:ilvl w:val="0"/>
          <w:numId w:val="2"/>
        </w:numPr>
        <w:spacing w:after="60"/>
      </w:pPr>
      <w:r>
        <w:rPr>
          <w:rFonts w:ascii="Aptos" w:cs="Aptos" w:eastAsia="Aptos" w:hAnsi="Aptos"/>
          <w:sz w:val="24"/>
          <w:szCs w:val="24"/>
          <w:b/>
        </w:rPr>
        <w:t xml:space="preserve">Privileged / admin access: </w:t>
      </w:r>
      <w:r>
        <w:rPr>
          <w:rFonts w:ascii="Aptos" w:cs="Aptos" w:eastAsia="Aptos" w:hAnsi="Aptos"/>
          <w:sz w:val="24"/>
          <w:szCs w:val="24"/>
        </w:rPr>
        <w:t xml:space="preserve">No</w:t>
      </w:r>
    </w:p>
    <w:p>
      <w:pPr>
        <w:pStyle w:val="ListParagraph"/>
        <w:numPr>
          <w:ilvl w:val="0"/>
          <w:numId w:val="2"/>
        </w:numPr>
        <w:spacing w:after="60"/>
      </w:pPr>
      <w:r>
        <w:rPr>
          <w:rFonts w:ascii="Aptos" w:cs="Aptos" w:eastAsia="Aptos" w:hAnsi="Aptos"/>
          <w:sz w:val="24"/>
          <w:szCs w:val="24"/>
          <w:b/>
        </w:rPr>
        <w:t xml:space="preserve">Conditions: </w:t>
      </w:r>
      <w:r>
        <w:rPr>
          <w:rFonts w:ascii="Aptos" w:cs="Aptos" w:eastAsia="Aptos" w:hAnsi="Aptos"/>
          <w:sz w:val="24"/>
          <w:szCs w:val="24"/>
        </w:rPr>
        <w:t xml:space="preserve">the requester will use the access only as authorized and per the Acceptable Use Policy, following least privilege.</w:t>
      </w:r>
    </w:p>
    <w:p>
      <w:pPr>
        <w:pStyle w:val="ListParagraph"/>
        <w:numPr>
          <w:ilvl w:val="0"/>
          <w:numId w:val="2"/>
        </w:numPr>
        <w:spacing w:after="60"/>
      </w:pPr>
      <w:r>
        <w:rPr>
          <w:rFonts w:ascii="Aptos" w:cs="Aptos" w:eastAsia="Aptos" w:hAnsi="Aptos"/>
          <w:sz w:val="24"/>
          <w:szCs w:val="24"/>
          <w:b/>
        </w:rPr>
        <w:t xml:space="preserve">CJIS-regulated access: </w:t>
      </w:r>
      <w:r>
        <w:rPr>
          <w:rFonts w:ascii="Aptos" w:cs="Aptos" w:eastAsia="Aptos" w:hAnsi="Aptos"/>
          <w:sz w:val="24"/>
          <w:szCs w:val="24"/>
        </w:rPr>
        <w:t xml:space="preserve">Yes. The CAD console reaches CJIS-regulated data via IDACS; CJIS Security Policy v5.9 §5.5 obligations apply. The requester completed CJIS security awareness training before access was granted.</w:t>
      </w:r>
    </w:p>
    <w:p>
      <w:pPr>
        <w:pStyle w:val="Heading2"/>
        <w:spacing w:after="100" w:before="220"/>
      </w:pPr>
      <w:r>
        <w:rPr>
          <w:rFonts w:ascii="Aptos" w:cs="Aptos" w:eastAsia="Aptos" w:hAnsi="Aptos"/>
          <w:b/>
          <w:bCs/>
          <w:color w:val="1B3A5C"/>
          <w:sz w:val="26"/>
          <w:szCs w:val="26"/>
        </w:rPr>
        <w:t>3. Request, Approval, and Provisioning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260"/>
        <w:gridCol w:w="2000"/>
        <w:gridCol w:w="1400"/>
      </w:tblGrid>
      <w:tr>
        <w:trPr>
          <w:tblHeader/>
        </w:trPr>
        <w:tc>
          <w:tcPr>
            <w:tcW w:type="dxa" w:w="17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sz w:val="24"/>
                <w:szCs w:val="24"/>
              </w:rPr>
              <w:t xml:space="preserve">Step</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sz w:val="24"/>
                <w:szCs w:val="24"/>
              </w:rPr>
              <w:t xml:space="preserve">Name</w:t>
            </w:r>
          </w:p>
        </w:tc>
        <w:tc>
          <w:tcPr>
            <w:tcW w:type="dxa" w:w="2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sz w:val="24"/>
                <w:szCs w:val="24"/>
              </w:rPr>
              <w:t xml:space="preserve">Role / Title</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sz w:val="24"/>
                <w:szCs w:val="24"/>
              </w:rPr>
              <w:t xml:space="preserve">Date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Requester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Rachel Kim</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Full-time Dispatcher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2026-03-02</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Approver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(on file)</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Director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2026-03-03</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Provisioned by</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(on file)</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Shared County IT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2026-03-04</w:t>
            </w:r>
          </w:p>
        </w:tc>
      </w:tr>
    </w:tbl>
    <w:p>
      <w:pPr>
        <w:pStyle w:val="Heading2"/>
        <w:spacing w:after="100" w:before="220"/>
      </w:pPr>
      <w:r>
        <w:rPr>
          <w:rFonts w:ascii="Aptos" w:cs="Aptos" w:eastAsia="Aptos" w:hAnsi="Aptos"/>
          <w:b/>
          <w:bCs/>
          <w:color w:val="1B3A5C"/>
          <w:sz w:val="26"/>
          <w:szCs w:val="26"/>
        </w:rPr>
        <w:t xml:space="preserve">4. Retention</w:t>
      </w:r>
    </w:p>
    <w:p>
      <w:pPr>
        <w:spacing w:after="120" w:before="0"/>
      </w:pPr>
      <w:r>
        <w:rPr>
          <w:rFonts w:ascii="Aptos" w:cs="Aptos" w:eastAsia="Aptos" w:hAnsi="Aptos"/>
          <w:sz w:val="24"/>
          <w:szCs w:val="24"/>
        </w:rPr>
        <w:t xml:space="preserve">Retention: the completed form is retained as the authorization record for 7 years by the Security Coordinator per the Document Handling Standard, and supports the Periodic Account Review / Certification Records.</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One form for every access change. The requester writes what they need and why; the director or lead approves and signs before IT grants it.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sz w:val="24"/>
                <w:szCs w:val="24"/>
              </w:rPr>
              <w:t xml:space="preserve">NENA-STA-040.2-2024: §6.2, §6.2.1</w:t>
            </w:r>
          </w:p>
          <w:p>
            <w:pPr>
              <w:spacing w:after="40" w:before="0"/>
            </w:pPr>
            <w:r>
              <w:rPr>
                <w:rFonts w:ascii="Aptos" w:cs="Aptos" w:eastAsia="Aptos" w:hAnsi="Aptos"/>
                <w:sz w:val="24"/>
                <w:szCs w:val="24"/>
              </w:rPr>
              <w:t xml:space="preserve">NIST SP 800-53 Rev. 5: AC-2, AC-3, AC-6</w:t>
            </w:r>
          </w:p>
          <w:p>
            <w:pPr>
              <w:spacing w:after="40" w:before="0"/>
            </w:pPr>
            <w:r>
              <w:rPr>
                <w:rFonts w:ascii="Aptos" w:cs="Aptos" w:eastAsia="Aptos" w:hAnsi="Aptos"/>
                <w:sz w:val="24"/>
                <w:szCs w:val="24"/>
              </w:rPr>
              <w:t xml:space="preserve">Indiana statutes and administrative code: 240 IAC 5 (IDACS)</w:t>
            </w:r>
          </w:p>
          <w:p>
            <w:pPr>
              <w:spacing w:after="0" w:before="0"/>
            </w:pPr>
            <w:r>
              <w:rPr>
                <w:rFonts w:ascii="Aptos" w:cs="Aptos" w:eastAsia="Aptos" w:hAnsi="Aptos"/>
                <w:sz w:val="24"/>
                <w:szCs w:val="24"/>
              </w:rPr>
              <w:t xml:space="preserve">CJIS Security Policy v5.9: §5.5  (CJIS-regulated data in scope, via IDACS)</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2026-03-04</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Shared County IT</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center"/>
    </w:pPr>
    <w:r>
      <w:drawing>
        <wp:inline xmlns:a="http://schemas.openxmlformats.org/drawingml/2006/main" xmlns:pic="http://schemas.openxmlformats.org/drawingml/2006/picture">
          <wp:extent cx="822960" cy="822960"/>
          <wp:docPr id="1" name="Picture 1"/>
          <wp:cNvGraphicFramePr>
            <a:graphicFrameLocks noChangeAspect="1"/>
          </wp:cNvGraphicFramePr>
          <a:graphic>
            <a:graphicData uri="http://schemas.openxmlformats.org/drawingml/2006/picture">
              <pic:pic>
                <pic:nvPicPr>
                  <pic:cNvPr id="0" name="seal-wabash.png"/>
                  <pic:cNvPicPr/>
                </pic:nvPicPr>
                <pic:blipFill>
                  <a:blip r:embed="rId1"/>
                  <a:stretch>
                    <a:fillRect/>
                  </a:stretch>
                </pic:blipFill>
                <pic:spPr>
                  <a:xfrm>
                    <a:off x="0" y="0"/>
                    <a:ext cx="822960" cy="822960"/>
                  </a:xfrm>
                  <a:prstGeom prst="rect"/>
                </pic:spPr>
              </pic:pic>
            </a:graphicData>
          </a:graphic>
        </wp:inline>
      </w:drawing>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2026-06-01T15:29:11.513Z</dcterms:created>
  <dcterms:modified xsi:type="dcterms:W3CDTF">2026-06-01T15:29:11.513Z</dcterms:modified>
</cp:coreProperties>
</file>

<file path=docProps/custom.xml><?xml version="1.0" encoding="utf-8"?>
<Properties xmlns="http://schemas.openxmlformats.org/officeDocument/2006/custom-properties" xmlns:vt="http://schemas.openxmlformats.org/officeDocument/2006/docPropsVTypes"/>
</file>