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Access Request &amp; Approval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Requester and approver</w:t>
            </w:r>
          </w:p>
          <w:p>
            <w:pPr>
              <w:spacing w:after="60"/>
            </w:pPr>
            <w:r>
              <w:rPr>
                <w:rFonts w:ascii="Aptos" w:cs="Aptos" w:eastAsia="Aptos" w:hAnsi="Aptos"/>
                <w:sz w:val="24"/>
                <w:szCs w:val="24"/>
                <w:b/>
              </w:rPr>
              <w:t xml:space="preserve">Requester: </w:t>
            </w:r>
            <w:r>
              <w:rPr>
                <w:rFonts w:ascii="Aptos" w:cs="Aptos" w:eastAsia="Aptos" w:hAnsi="Aptos"/>
                <w:sz w:val="24"/>
                <w:szCs w:val="24"/>
              </w:rPr>
              <w:t xml:space="preserve">Emily Dawson, Part-time Dispatcher, Dispatch</w:t>
            </w:r>
          </w:p>
          <w:p>
            <w:pPr>
              <w:spacing w:after="60"/>
            </w:pPr>
            <w:r>
              <w:rPr>
                <w:rFonts w:ascii="Aptos" w:cs="Aptos" w:eastAsia="Aptos" w:hAnsi="Aptos"/>
                <w:sz w:val="24"/>
                <w:szCs w:val="24"/>
                <w:b/>
              </w:rPr>
              <w:t xml:space="preserve">Approver: </w:t>
            </w:r>
            <w:r>
              <w:rPr>
                <w:rFonts w:ascii="Aptos" w:cs="Aptos" w:eastAsia="Aptos" w:hAnsi="Aptos"/>
                <w:sz w:val="24"/>
                <w:szCs w:val="24"/>
              </w:rPr>
              <w:t xml:space="preserve">Director</w:t>
            </w:r>
            <w:r>
              <w:rPr>
                <w:rFonts w:ascii="Aptos" w:cs="Aptos" w:eastAsia="Aptos" w:hAnsi="Aptos"/>
                <w:sz w:val="24"/>
                <w:szCs w:val="24"/>
                <w:b/>
              </w:rPr>
              <w:t xml:space="preserve">      Provisioned by: </w:t>
            </w:r>
            <w:r>
              <w:rPr>
                <w:rFonts w:ascii="Aptos" w:cs="Aptos" w:eastAsia="Aptos" w:hAnsi="Aptos"/>
                <w:sz w:val="24"/>
                <w:szCs w:val="24"/>
              </w:rPr>
              <w:t xml:space="preserve">IT Support</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2026-02-12    </w:t>
            </w:r>
            <w:r>
              <w:rPr>
                <w:rFonts w:ascii="Aptos" w:cs="Aptos" w:eastAsia="Aptos" w:hAnsi="Aptos"/>
                <w:sz w:val="24"/>
                <w:szCs w:val="24"/>
                <w:b/>
              </w:rPr>
              <w:t xml:space="preserve">Next Review: </w:t>
            </w:r>
            <w:r>
              <w:rPr>
                <w:rFonts w:ascii="Aptos" w:cs="Aptos" w:eastAsia="Aptos" w:hAnsi="Aptos"/>
                <w:sz w:val="24"/>
                <w:szCs w:val="24"/>
              </w:rPr>
              <w:t xml:space="preserve">2027-02-12</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Confidential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form initiates, documents, and authorizes any grant or change of access to Hickory County 911 systems, including temporary elevation of privilege. It is the operational front end of the Access Control Policy; the completed form is the authorization record behind the access.</w:t>
      </w:r>
    </w:p>
    <w:p>
      <w:pPr>
        <w:pStyle w:val="Heading2"/>
        <w:spacing w:after="100" w:before="220"/>
      </w:pPr>
      <w:r>
        <w:rPr>
          <w:rFonts w:ascii="Aptos" w:cs="Aptos" w:eastAsia="Aptos" w:hAnsi="Aptos"/>
          <w:b/>
          <w:bCs/>
          <w:color w:val="1B3A5C"/>
          <w:sz w:val="26"/>
          <w:szCs w:val="26"/>
        </w:rPr>
        <w:t>2. Access Requested</w:t>
      </w:r>
    </w:p>
    <w:p>
      <w:pPr>
        <w:pStyle w:val="ListParagraph"/>
        <w:numPr>
          <w:ilvl w:val="0"/>
          <w:numId w:val="2"/>
        </w:numPr>
        <w:spacing w:after="60"/>
      </w:pPr>
      <w:r>
        <w:rPr>
          <w:rFonts w:ascii="Aptos" w:cs="Aptos" w:eastAsia="Aptos" w:hAnsi="Aptos"/>
          <w:sz w:val="24"/>
          <w:szCs w:val="24"/>
          <w:b/>
        </w:rPr>
        <w:t xml:space="preserve">Systems / applications: </w:t>
      </w:r>
      <w:r>
        <w:rPr>
          <w:rFonts w:ascii="Aptos" w:cs="Aptos" w:eastAsia="Aptos" w:hAnsi="Aptos"/>
          <w:sz w:val="24"/>
          <w:szCs w:val="24"/>
        </w:rPr>
        <w:t xml:space="preserve">CAD dispatch console and county email</w:t>
      </w:r>
    </w:p>
    <w:p>
      <w:pPr>
        <w:pStyle w:val="ListParagraph"/>
        <w:numPr>
          <w:ilvl w:val="0"/>
          <w:numId w:val="2"/>
        </w:numPr>
        <w:spacing w:after="60"/>
      </w:pPr>
      <w:r>
        <w:rPr>
          <w:rFonts w:ascii="Aptos" w:cs="Aptos" w:eastAsia="Aptos" w:hAnsi="Aptos"/>
          <w:sz w:val="24"/>
          <w:szCs w:val="24"/>
          <w:b/>
        </w:rPr>
        <w:t xml:space="preserve">Access level / role: </w:t>
      </w:r>
      <w:r>
        <w:rPr>
          <w:rFonts w:ascii="Aptos" w:cs="Aptos" w:eastAsia="Aptos" w:hAnsi="Aptos"/>
          <w:sz w:val="24"/>
          <w:szCs w:val="24"/>
        </w:rPr>
        <w:t xml:space="preserve">Dispatcher (standard call-taker role)</w:t>
      </w:r>
    </w:p>
    <w:p>
      <w:pPr>
        <w:pStyle w:val="ListParagraph"/>
        <w:numPr>
          <w:ilvl w:val="0"/>
          <w:numId w:val="2"/>
        </w:numPr>
        <w:spacing w:after="60"/>
      </w:pPr>
      <w:r>
        <w:rPr>
          <w:rFonts w:ascii="Aptos" w:cs="Aptos" w:eastAsia="Aptos" w:hAnsi="Aptos"/>
          <w:sz w:val="24"/>
          <w:szCs w:val="24"/>
          <w:b/>
        </w:rPr>
        <w:t xml:space="preserve">Business justification: </w:t>
      </w:r>
      <w:r>
        <w:rPr>
          <w:rFonts w:ascii="Aptos" w:cs="Aptos" w:eastAsia="Aptos" w:hAnsi="Aptos"/>
          <w:sz w:val="24"/>
          <w:szCs w:val="24"/>
        </w:rPr>
        <w:t xml:space="preserve">New part-time dispatcher; needs CAD and email to take and dispatch calls.</w:t>
      </w:r>
    </w:p>
    <w:p>
      <w:pPr>
        <w:pStyle w:val="ListParagraph"/>
        <w:numPr>
          <w:ilvl w:val="0"/>
          <w:numId w:val="2"/>
        </w:numPr>
        <w:spacing w:after="60"/>
      </w:pPr>
      <w:r>
        <w:rPr>
          <w:rFonts w:ascii="Aptos" w:cs="Aptos" w:eastAsia="Aptos" w:hAnsi="Aptos"/>
          <w:sz w:val="24"/>
          <w:szCs w:val="24"/>
          <w:b/>
        </w:rPr>
        <w:t xml:space="preserve">Duration: </w:t>
      </w:r>
      <w:r>
        <w:rPr>
          <w:rFonts w:ascii="Aptos" w:cs="Aptos" w:eastAsia="Aptos" w:hAnsi="Aptos"/>
          <w:sz w:val="24"/>
          <w:szCs w:val="24"/>
        </w:rPr>
        <w:t xml:space="preserve">Permanent (employment-based)</w:t>
      </w:r>
    </w:p>
    <w:p>
      <w:pPr>
        <w:pStyle w:val="ListParagraph"/>
        <w:numPr>
          <w:ilvl w:val="0"/>
          <w:numId w:val="2"/>
        </w:numPr>
        <w:spacing w:after="60"/>
      </w:pPr>
      <w:r>
        <w:rPr>
          <w:rFonts w:ascii="Aptos" w:cs="Aptos" w:eastAsia="Aptos" w:hAnsi="Aptos"/>
          <w:sz w:val="24"/>
          <w:szCs w:val="24"/>
          <w:b/>
        </w:rPr>
        <w:t xml:space="preserve">Privileged / admin access: </w:t>
      </w:r>
      <w:r>
        <w:rPr>
          <w:rFonts w:ascii="Aptos" w:cs="Aptos" w:eastAsia="Aptos" w:hAnsi="Aptos"/>
          <w:sz w:val="24"/>
          <w:szCs w:val="24"/>
        </w:rPr>
        <w:t xml:space="preserve">No</w:t>
      </w:r>
    </w:p>
    <w:p>
      <w:pPr>
        <w:pStyle w:val="ListParagraph"/>
        <w:numPr>
          <w:ilvl w:val="0"/>
          <w:numId w:val="2"/>
        </w:numPr>
        <w:spacing w:after="60"/>
      </w:pPr>
      <w:r>
        <w:rPr>
          <w:rFonts w:ascii="Aptos" w:cs="Aptos" w:eastAsia="Aptos" w:hAnsi="Aptos"/>
          <w:sz w:val="24"/>
          <w:szCs w:val="24"/>
          <w:b/>
        </w:rPr>
        <w:t xml:space="preserve">Conditions: </w:t>
      </w:r>
      <w:r>
        <w:rPr>
          <w:rFonts w:ascii="Aptos" w:cs="Aptos" w:eastAsia="Aptos" w:hAnsi="Aptos"/>
          <w:sz w:val="24"/>
          <w:szCs w:val="24"/>
        </w:rPr>
        <w:t xml:space="preserve">the requester will use the access only as authorized and per the Acceptable Use Policy, following least privilege.</w:t>
      </w:r>
    </w:p>
    <w:p>
      <w:pPr>
        <w:pStyle w:val="ListParagraph"/>
        <w:numPr>
          <w:ilvl w:val="0"/>
          <w:numId w:val="2"/>
        </w:numPr>
        <w:spacing w:after="60"/>
      </w:pPr>
      <w:r>
        <w:rPr>
          <w:rFonts w:ascii="Aptos" w:cs="Aptos" w:eastAsia="Aptos" w:hAnsi="Aptos"/>
          <w:sz w:val="24"/>
          <w:szCs w:val="24"/>
          <w:b/>
        </w:rPr>
        <w:t xml:space="preserve">CJIS-regulated access: </w:t>
      </w:r>
      <w:r>
        <w:rPr>
          <w:rFonts w:ascii="Aptos" w:cs="Aptos" w:eastAsia="Aptos" w:hAnsi="Aptos"/>
          <w:sz w:val="24"/>
          <w:szCs w:val="24"/>
        </w:rPr>
        <w:t xml:space="preserve">Yes. The CAD console reaches CJIS-regulated data via IDACS; CJIS Security Policy v5.9 §5.5 obligations apply. The requester completed CJIS security awareness training before access was granted.</w:t>
      </w:r>
    </w:p>
    <w:p>
      <w:pPr>
        <w:pStyle w:val="Heading2"/>
        <w:spacing w:after="100" w:before="220"/>
      </w:pPr>
      <w:r>
        <w:rPr>
          <w:rFonts w:ascii="Aptos" w:cs="Aptos" w:eastAsia="Aptos" w:hAnsi="Aptos"/>
          <w:b/>
          <w:bCs/>
          <w:color w:val="1B3A5C"/>
          <w:sz w:val="26"/>
          <w:szCs w:val="26"/>
        </w:rPr>
        <w:t>3. Request, Approval, and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Step</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Emily Dawson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Part-time Dispatcher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Provisioned by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2026-02-12</w:t>
            </w: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sz w:val="24"/>
          <w:szCs w:val="24"/>
        </w:rPr>
        <w:t xml:space="preserve">Retention: the completed form is retained as the authorization record for 7 years by the Director per the Document Handling Standard, and supports the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form for every access change. The requester writes what they need and why; the director or lead approves and signs before IT grants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§6.2, §6.2.1</w:t>
            </w:r>
          </w:p>
          <w:p>
            <w:pPr>
              <w:spacing w:after="40" w:before="0"/>
            </w:pPr>
            <w:r>
              <w:rPr>
                <w:rFonts w:ascii="Aptos" w:cs="Aptos" w:eastAsia="Aptos" w:hAnsi="Aptos"/>
                <w:sz w:val="24"/>
                <w:szCs w:val="24"/>
              </w:rPr>
              <w:t xml:space="preserve">NIST SP 800-53 Rev. 5: AC-2, AC-3, AC-6</w:t>
            </w:r>
          </w:p>
          <w:p>
            <w:pPr>
              <w:spacing w:after="40" w:before="0"/>
            </w:pPr>
            <w:r>
              <w:rPr>
                <w:rFonts w:ascii="Aptos" w:cs="Aptos" w:eastAsia="Aptos" w:hAnsi="Aptos"/>
                <w:sz w:val="24"/>
                <w:szCs w:val="24"/>
              </w:rPr>
              <w:t xml:space="preserve">Indiana statutes and administrative code: 240 IAC 5 (IDACS)</w:t>
            </w:r>
          </w:p>
          <w:p>
            <w:pPr>
              <w:spacing w:after="0" w:before="0"/>
            </w:pPr>
            <w:r>
              <w:rPr>
                <w:rFonts w:ascii="Aptos" w:cs="Aptos" w:eastAsia="Aptos" w:hAnsi="Apto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