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>MFA Implementation Record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sz w:val="24"/>
                <w:szCs w:val="24"/>
                <w:b/>
              </w:rPr>
              <w:t xml:space="preserve">Authority: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Adopted by Tri-River Regional 911 Center under the authority of the Director.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sz w:val="24"/>
                <w:szCs w:val="24"/>
                <w:b/>
              </w:rPr>
              <w:t xml:space="preserve">Version: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1.0    </w:t>
            </w:r>
            <w:r>
              <w:rPr>
                <w:rFonts w:ascii="Aptos" w:cs="Aptos" w:eastAsia="Aptos" w:hAnsi="Aptos"/>
                <w:sz w:val="24"/>
                <w:szCs w:val="24"/>
                <w:b/>
              </w:rPr>
              <w:t xml:space="preserve">Effective Date: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2026-03-15    </w:t>
            </w:r>
            <w:r>
              <w:rPr>
                <w:rFonts w:ascii="Aptos" w:cs="Aptos" w:eastAsia="Aptos" w:hAnsi="Aptos"/>
                <w:sz w:val="24"/>
                <w:szCs w:val="24"/>
                <w:b/>
              </w:rPr>
              <w:t xml:space="preserve">Next Review: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2027-03-15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sz w:val="24"/>
                <w:szCs w:val="24"/>
                <w:b/>
              </w:rPr>
              <w:t xml:space="preserve">Owner: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IT Team</w:t>
            </w:r>
          </w:p>
          <w:p>
            <w:pPr>
              <w:spacing w:after="20"/>
            </w:pPr>
            <w:r>
              <w:rPr>
                <w:rFonts w:ascii="Aptos" w:cs="Aptos" w:eastAsia="Aptos" w:hAnsi="Aptos"/>
                <w:sz w:val="24"/>
                <w:szCs w:val="24"/>
                <w:b/>
              </w:rPr>
              <w:t xml:space="preserve">Classification: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Restricted / CJIS</w:t>
            </w:r>
          </w:p>
        </w:tc>
      </w:tr>
    </w:tbl>
    <w:p>
      <w:pPr>
        <w:spacing w:after="60"/>
      </w:pP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Purpose and Scope</w:t>
      </w:r>
    </w:p>
    <w:p>
      <w:pPr>
        <w:spacing w:after="120" w:before="0"/>
      </w:pPr>
      <w:r>
        <w:rPr>
          <w:rFonts w:ascii="Aptos" w:cs="Aptos" w:eastAsia="Aptos" w:hAnsi="Aptos"/>
          <w:sz w:val="24"/>
          <w:szCs w:val="24"/>
        </w:rPr>
        <w:t>This record documents where multi-factor authentication (MFA) is enforced across Tri-River Regional 911 Center systems, the method in use, and any exceptions, as evidence that the Password &amp; Authentication Policy MFA requirement is met. It captures the as-built state, not the requirement.</w:t>
      </w:r>
    </w:p>
    <w:p>
      <w:pPr>
        <w:spacing w:after="120" w:before="0"/>
      </w:pPr>
      <w:r>
        <w:rPr>
          <w:rFonts w:ascii="Aptos" w:cs="Aptos" w:eastAsia="Aptos" w:hAnsi="Aptos"/>
          <w:sz w:val="24"/>
          <w:szCs w:val="24"/>
        </w:rPr>
        <w:t xml:space="preserve">CJIS Handling: where a listed system reaches CJIS-regulated data via IDACS, apply CJIS Security Policy v5.9 §5.6 (advanced authentication) in addition to the controls here.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2. MFA Standard and Coverage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Item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Value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MFA standard method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Single sign-on with phishing-resistant MFA (FIDO2)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Privileged / admin accounts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MFA required (FIDO2 hardware key)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Remote / VPN access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MFA required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Cloud services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MFA required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Owner (role)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IT Team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3. MFA Enforcement by System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200"/>
        <w:gridCol w:w="1560"/>
        <w:gridCol w:w="1800"/>
        <w:gridCol w:w="140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System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Environment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MFA Enforced (Y/N)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Method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Account Scope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All-staff sign-on (SSO / identity platform)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Cloud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Yes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FIDO2 / authenticator app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All users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CAD and call-handling (both centers)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On-prem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Yes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FIDO2 / authenticator app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All users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Remote / VPN access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Remote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Yes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FIDO2 / authenticator app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All users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Privileged / administrative access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On-prem and cloud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Yes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FIDO2 hardware key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Privileged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NG911 element management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On-prem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Yes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FIDO2 hardware key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Privileged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4. Exceptions and Compensating Controls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200"/>
        <w:gridCol w:w="1560"/>
        <w:gridCol w:w="1800"/>
        <w:gridCol w:w="140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System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Reason MFA not enforced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Compensating control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Approved by (Role)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Review date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None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MFA is enforced on all in-scope systems this cycle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n/a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Information Security Analyst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n/a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5. Validation and Review</w:t>
      </w:r>
    </w:p>
    <w:p>
      <w:pPr>
        <w:spacing w:after="120" w:before="0"/>
      </w:pPr>
      <w:r>
        <w:rPr>
          <w:rFonts w:ascii="Aptos" w:cs="Aptos" w:eastAsia="Aptos" w:hAnsi="Aptos"/>
          <w:sz w:val="24"/>
          <w:szCs w:val="24"/>
        </w:rPr>
        <w:t>MFA coverage is validated against the Password &amp; Authentication Policy at least quarterly by the IT Team; new systems are checked at go-live and exceptions are reviewed on the date shown.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Small (1–5 dispatchers, no in-house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Few systems. One person records, for each, whether MFA is on and how (app or code), and notes any system that cannot take it yet with a reason.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sz w:val="24"/>
                <w:szCs w:val="24"/>
              </w:rPr>
              <w:t xml:space="preserve">NENA-STA-040.2-2024: §6.2, §6.2.1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sz w:val="24"/>
                <w:szCs w:val="24"/>
              </w:rPr>
              <w:t xml:space="preserve">NIST SP 800-53 Rev. 5: IA-2, IA-2(1), IA-2(2), IA-5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sz w:val="24"/>
                <w:szCs w:val="24"/>
              </w:rPr>
              <w:t xml:space="preserve">Indiana statutes and administrative code: 240 IAC 5 (IDACS)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sz w:val="24"/>
                <w:szCs w:val="24"/>
              </w:rPr>
              <w:t xml:space="preserve">CJIS Security Policy v5.9: §5.6  (CJIS-regulated data in scope, via IDACS)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Approval Signatures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IT Team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Information Security Analyst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Change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1.0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2026-03-15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IT Team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Initial issue</w:t>
            </w:r>
          </w:p>
        </w:tc>
      </w:tr>
    </w:tbl>
    <w:p>
      <w:pPr>
        <w:spacing w:after="60"/>
      </w:pP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center"/>
    </w:pPr>
    <w:r>
      <w:drawing>
        <wp:inline xmlns:a="http://schemas.openxmlformats.org/drawingml/2006/main" xmlns:pic="http://schemas.openxmlformats.org/drawingml/2006/picture">
          <wp:extent cx="822960" cy="82296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seal-trirv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22960" cy="822960"/>
                  </a:xfrm>
                  <a:prstGeom prst="rect"/>
                </pic:spPr>
              </pic:pic>
            </a:graphicData>
          </a:graphic>
        </wp:inline>
      </w:drawing>
    </w:r>
  </w:p>
  <w:p>
    <w:r>
      <w:drawing>
        <wp:anchor xmlns:a="http://schemas.openxmlformats.org/drawingml/2006/main" behindDoc="1" distT="0" distB="0" distL="0" distR="0" simplePos="0" locked="0" layoutInCell="1" allowOverlap="1" relativeHeight="0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5943600" cy="5943600"/>
          <wp:effectExtent l="0" t="0" r="0" b="0"/>
          <wp:wrapNone/>
          <wp:docPr id="990" name="SampleWatermark"/>
          <wp:cNvGraphicFramePr/>
          <a:graphic xmlns:pic="http://schemas.openxmlformats.org/drawingml/2006/picture">
            <a:graphicData uri="http://schemas.openxmlformats.org/drawingml/2006/picture">
              <pic:pic>
                <pic:nvPicPr>
                  <pic:cNvPr id="0" name="_sample_wm.pn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5943600" cy="59436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2026-06-01T15:29:11.476Z</dcterms:created>
  <dcterms:modified xsi:type="dcterms:W3CDTF">2026-06-01T15:29:11.476Z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