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MFA Implementation Record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Authority: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Adopted by Wabash Valley Communications under the authority of the Director.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Version: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Effective 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2026-03-01    </w:t>
            </w: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Next Review: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2027-03-01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Owner: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Shared County IT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sz w:val="24"/>
                <w:szCs w:val="24"/>
                <w:b/>
              </w:rPr>
              <w:t xml:space="preserve">Classification: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Restricted / CJIS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 and Scope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>This record documents where multi-factor authentication (MFA) is enforced across Wabash Valley Communications systems, the method in use, and any exceptions, as evidence that the Password &amp; Authentication Policy MFA requirement is met. It captures the as-built state, not the requirement.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CJIS Handling: where a listed system reaches CJIS-regulated data via IDACS, apply CJIS Security Policy v5.9 §5.6 (advanced authentication) in addition to the controls here.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2. MFA Standard and Coverage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Item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MFA standard method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Authenticator app (Microsoft 365)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Privileged / admin accounts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MFA required (hardware token)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Remote / VPN access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MFA required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Cloud services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MFA required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Owner (role)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Shared County IT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3. MFA Enforcement by System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1560"/>
        <w:gridCol w:w="1800"/>
        <w:gridCol w:w="14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System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Environment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MFA Enforced (Y/N)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Method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Account Scope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County email (Microsoft 365)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Cloud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Yes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Authenticator app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All users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Remote / VPN access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Remote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Yes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Authenticator app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All users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CAD console (both sites)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On-prem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Yes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Authenticator app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All users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Admin / management portals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On-prem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Yes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Hardware token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Privileged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Legacy logging appliance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On-prem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No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Does not support MFA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Privileged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4. Exceptions and Compensating Controls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1560"/>
        <w:gridCol w:w="1800"/>
        <w:gridCol w:w="14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System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Reason MFA not enforced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Compensating control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Approved by (Role)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Review date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Legacy logging appliance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Appliance firmware does not support MFA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Management restricted to an isolated admin VLAN; local console access only; scheduled for replacement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Security Coordinator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2026-09-01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Validation and Review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>MFA coverage is validated against the Password &amp; Authentication Policy at least quarterly by the Shared County IT; new systems are checked at go-live and exceptions are reviewed on the date shown.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Few systems. One person records, for each, whether MFA is on and how (app or code), and notes any system that cannot take it yet with a reason.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§6.2, §6.2.1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IA-2, IA-2(1), IA-2(2), IA-5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Indiana statutes and administrative code: 240 IAC 5 (IDACS)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CJIS Security Policy v5.9: §5.6  (CJIS-regulated data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Shared County IT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Security Coordinator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Change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2026-03-01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Shared County IT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Initial issue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center"/>
    </w:pPr>
    <w:r>
      <w:drawing>
        <wp:inline xmlns:a="http://schemas.openxmlformats.org/drawingml/2006/main" xmlns:pic="http://schemas.openxmlformats.org/drawingml/2006/picture">
          <wp:extent cx="822960" cy="8229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-wabash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22960"/>
                  </a:xfrm>
                  <a:prstGeom prst="rect"/>
                </pic:spPr>
              </pic:pic>
            </a:graphicData>
          </a:graphic>
        </wp:inline>
      </w:drawing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2026-06-01T15:29:11.476Z</dcterms:created>
  <dcterms:modified xsi:type="dcterms:W3CDTF">2026-06-01T15:29:11.476Z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