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Anthony Reyes,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2026-02-09</w:t>
            </w:r>
            <w:r>
              <w:rPr>
                <w:rFonts w:ascii="Aptos" w:cs="Aptos" w:eastAsia="Aptos" w:hAnsi="Aptos"/>
                <w:b/>
                <w:bCs/>
                <w:sz w:val="24"/>
                <w:szCs w:val="24"/>
              </w:rPr>
              <w:t xml:space="preserve">    Next Review: </w:t>
            </w:r>
            <w:r>
              <w:rPr>
                <w:rFonts w:ascii="Aptos" w:cs="Aptos" w:eastAsia="Aptos" w:hAnsi="Aptos"/>
                <w:sz w:val="24"/>
                <w:szCs w:val="24"/>
              </w:rPr>
              <w:t xml:space="preserve">2027-02-09</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IT Support Lead</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diagram is the current, dated map of the agency's network: every segment and VLAN, the devices on each, the boundary points, and every external connection. It is the reference the firewall ruleset, segmentation design, external connection inventory, and monitoring records all build on, so it is kept accurate against the Master Asset Inventory.</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
              <w:drawing>
                <wp:inline xmlns:a="http://schemas.openxmlformats.org/drawingml/2006/main" xmlns:pic="http://schemas.openxmlformats.org/drawingml/2006/picture">
                  <wp:extent cx="5669280" cy="2022959"/>
                  <wp:docPr id="1" name="Picture 1"/>
                  <wp:cNvGraphicFramePr>
                    <a:graphicFrameLocks noChangeAspect="1"/>
                  </wp:cNvGraphicFramePr>
                  <a:graphic>
                    <a:graphicData uri="http://schemas.openxmlformats.org/drawingml/2006/picture">
                      <pic:pic>
                        <pic:nvPicPr>
                          <pic:cNvPr id="0" name="topo-M.png"/>
                          <pic:cNvPicPr/>
                        </pic:nvPicPr>
                        <pic:blipFill>
                          <a:blip r:embed="rId12"/>
                          <a:stretch>
                            <a:fillRect/>
                          </a:stretch>
                        </pic:blipFill>
                        <pic:spPr>
                          <a:xfrm>
                            <a:off x="0" y="0"/>
                            <a:ext cx="5669280" cy="2022959"/>
                          </a:xfrm>
                          <a:prstGeom prst="rect"/>
                        </pic:spPr>
                      </pic:pic>
                    </a:graphicData>
                  </a:graphic>
                </wp:inline>
              </w:drawing>
            </w:r>
          </w:p>
        </w:tc>
      </w:tr>
    </w:tbl>
    <w:p>
      <w:pPr>
        <w:pStyle w:val="Heading2"/>
        <w:spacing w:after="100" w:before="220"/>
      </w:pPr>
      <w:r>
        <w:rPr>
          <w:rFonts w:ascii="Aptos" w:cs="Aptos" w:eastAsia="Aptos" w:hAnsi="Aptos"/>
          <w:b/>
          <w:bCs/>
          <w:color w:val="1B3A5C"/>
          <w:sz w:val="26"/>
          <w:szCs w:val="26"/>
        </w:rPr>
        <w:t xml:space="preserve">3. Segments &amp;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60"/>
        <w:gridCol w:w="19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Node / device</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Segment / VLAN</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function</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boundary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Firewalls (FW-01/02, HA)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 control, default-deny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border controller (SBC-01)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SIP boundary to dual ESInet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servers (dual)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VoIP / call routing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call routing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 server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Mapping and location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workstations (x14)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Administration and email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 web host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Public information service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 Wi-Fi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Visitor internet only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 isolated</w:t>
            </w:r>
          </w:p>
        </w:tc>
      </w:tr>
    </w:tbl>
    <w:p>
      <w:pPr>
        <w:pStyle w:val="Heading2"/>
        <w:spacing w:after="100" w:before="220"/>
      </w:pPr>
      <w:r>
        <w:rPr>
          <w:rFonts w:ascii="Aptos" w:cs="Aptos" w:eastAsia="Aptos" w:hAnsi="Aptos"/>
          <w:b/>
          <w:bCs/>
          <w:color w:val="1B3A5C"/>
          <w:sz w:val="26"/>
          <w:szCs w:val="26"/>
        </w:rPr>
        <w:t xml:space="preserve">4. Relationship Notes</w:t>
      </w:r>
    </w:p>
    <w:p>
      <w:pPr>
        <w:spacing w:after="120" w:before="0"/>
      </w:pPr>
      <w:r>
        <w:rPr>
          <w:rFonts w:ascii="Aptos" w:cs="Aptos" w:eastAsia="Aptos" w:hAnsi="Aptos"/>
          <w:b w:val="false"/>
          <w:bCs w:val="false"/>
          <w:i w:val="false"/>
          <w:iCs w:val="false"/>
          <w:sz w:val="24"/>
          <w:szCs w:val="24"/>
        </w:rPr>
        <w:t xml:space="preserve">All inter-segment traffic is denied by default; only defined flows are allowed through the firewall pair. Dispatch, voice, and GIS sit on their own critical VLANs, public services live in the DMZ, and guest Wi-Fi is internet-only and isolated. Dual ISP and dual ESInet provide redundancy. This diagram was last verified against the Master Asset Inventory on 2026-02-09, separate from the document review date. The Firewall Ruleset Documentation carries the as-built rules and the Network Segmentation Design Document sets the intended zoning.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maintained diagram covering all VLANs or both sites, the boundary devices, and each external connection. Kept under version control and re-verified against the asset inventory on a set cadence.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§6.7.3, §6.9, §6.11, §6.13</w:t>
            </w:r>
          </w:p>
          <w:p>
            <w:pPr>
              <w:spacing w:after="40" w:before="0"/>
            </w:pPr>
            <w:r>
              <w:rPr>
                <w:rFonts w:ascii="Aptos" w:cs="Aptos" w:eastAsia="Aptos" w:hAnsi="Aptos"/>
                <w:sz w:val="24"/>
                <w:szCs w:val="24"/>
              </w:rPr>
              <w:t xml:space="preserve">NIST SP 800-53 Rev. 5: AC-4, CA-3, CA-9, PL-8,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2026-02-09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Lead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Priya Nair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Priya Nair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2026-02-09</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2026-02-09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Priya Nair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