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Network Architecture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Hickory County 911 under the authority of Tracy Holloway, Director.</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w:t>
            </w:r>
            <w:r>
              <w:rPr>
                <w:rFonts w:ascii="Aptos" w:cs="Aptos" w:eastAsia="Aptos" w:hAnsi="Aptos"/>
                <w:b/>
                <w:bCs/>
                <w:sz w:val="24"/>
                <w:szCs w:val="24"/>
              </w:rPr>
              <w:t xml:space="preserve">    Effective Date: </w:t>
            </w:r>
            <w:r>
              <w:rPr>
                <w:rFonts w:ascii="Aptos" w:cs="Aptos" w:eastAsia="Aptos" w:hAnsi="Aptos"/>
                <w:sz w:val="24"/>
                <w:szCs w:val="24"/>
              </w:rPr>
              <w:t xml:space="preserve">2026-02-16</w:t>
            </w:r>
            <w:r>
              <w:rPr>
                <w:rFonts w:ascii="Aptos" w:cs="Aptos" w:eastAsia="Aptos" w:hAnsi="Aptos"/>
                <w:b/>
                <w:bCs/>
                <w:sz w:val="24"/>
                <w:szCs w:val="24"/>
              </w:rPr>
              <w:t xml:space="preserve">    Next Review: </w:t>
            </w:r>
            <w:r>
              <w:rPr>
                <w:rFonts w:ascii="Aptos" w:cs="Aptos" w:eastAsia="Aptos" w:hAnsi="Aptos"/>
                <w:sz w:val="24"/>
                <w:szCs w:val="24"/>
              </w:rPr>
              <w:t xml:space="preserve">2027-02-16</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County IT Contact</w:t>
            </w:r>
          </w:p>
          <w:p>
            <w:pPr>
              <w:spacing w:after="20"/>
            </w:pPr>
            <w:r>
              <w:rPr>
                <w:rFonts w:ascii="Aptos" w:cs="Aptos" w:eastAsia="Aptos" w:hAnsi="Aptos"/>
                <w:b/>
                <w:bCs/>
                <w:sz w:val="24"/>
                <w:szCs w:val="24"/>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diagram is the current, dated map of the agency's network: every segment and VLAN, the devices on each, the boundary points, and every external connection. It is the reference the firewall ruleset, segmentation design, external connection inventory, and monitoring records all build on, so it is kept accurate against the Master Asset Inventory.</w:t>
      </w:r>
    </w:p>
    <w:p>
      <w:pPr>
        <w:pStyle w:val="Heading2"/>
        <w:spacing w:after="100" w:before="220"/>
      </w:pPr>
      <w:r>
        <w:rPr>
          <w:rFonts w:ascii="Aptos" w:cs="Aptos" w:eastAsia="Aptos" w:hAnsi="Aptos"/>
          <w:b/>
          <w:bCs/>
          <w:color w:val="1B3A5C"/>
          <w:sz w:val="26"/>
          <w:szCs w:val="26"/>
        </w:rPr>
        <w:t xml:space="preserve">2.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
              <w:drawing>
                <wp:inline xmlns:a="http://schemas.openxmlformats.org/drawingml/2006/main" xmlns:pic="http://schemas.openxmlformats.org/drawingml/2006/picture">
                  <wp:extent cx="5669280" cy="2899521"/>
                  <wp:docPr id="1" name="Picture 1"/>
                  <wp:cNvGraphicFramePr>
                    <a:graphicFrameLocks noChangeAspect="1"/>
                  </wp:cNvGraphicFramePr>
                  <a:graphic>
                    <a:graphicData uri="http://schemas.openxmlformats.org/drawingml/2006/picture">
                      <pic:pic>
                        <pic:nvPicPr>
                          <pic:cNvPr id="0" name="topo-S.png"/>
                          <pic:cNvPicPr/>
                        </pic:nvPicPr>
                        <pic:blipFill>
                          <a:blip r:embed="rId12"/>
                          <a:stretch>
                            <a:fillRect/>
                          </a:stretch>
                        </pic:blipFill>
                        <pic:spPr>
                          <a:xfrm>
                            <a:off x="0" y="0"/>
                            <a:ext cx="5669280" cy="2899521"/>
                          </a:xfrm>
                          <a:prstGeom prst="rect"/>
                        </pic:spPr>
                      </pic:pic>
                    </a:graphicData>
                  </a:graphic>
                </wp:inline>
              </w:drawing>
            </w:r>
          </w:p>
        </w:tc>
      </w:tr>
    </w:tbl>
    <w:p>
      <w:pPr>
        <w:pStyle w:val="Heading2"/>
        <w:spacing w:after="100" w:before="220"/>
      </w:pPr>
      <w:r>
        <w:rPr>
          <w:rFonts w:ascii="Aptos" w:cs="Aptos" w:eastAsia="Aptos" w:hAnsi="Aptos"/>
          <w:b/>
          <w:bCs/>
          <w:color w:val="1B3A5C"/>
          <w:sz w:val="26"/>
          <w:szCs w:val="26"/>
        </w:rPr>
        <w:t xml:space="preserve">3. Segments &amp;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2960"/>
        <w:gridCol w:w="1900"/>
      </w:tblGrid>
      <w:tr>
        <w:trPr>
          <w:tblHeader/>
        </w:trPr>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Node / device</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Segment / VLAN</w:t>
            </w:r>
          </w:p>
        </w:tc>
        <w:tc>
          <w:tcPr>
            <w:tcW w:type="dxa" w:w="29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 / function</w:t>
            </w:r>
          </w:p>
        </w:tc>
        <w:tc>
          <w:tcPr>
            <w:tcW w:type="dxa" w:w="19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Trust boundary</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Firewall (FW-01)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Boundary control, default-deny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Session border controller (SBC-01)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Voice / edge</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SIP boundary to the ESInet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Perimeter</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CAD / dispatch server</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Call-handling and 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workstations (x5)</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Call-taking and dispatch</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 critical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workstations</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 VLAN</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Administration and email</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Internal</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 Wi-Fi access point</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Guest</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Visitor internet only</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Untrusted, isolated</w:t>
            </w:r>
          </w:p>
        </w:tc>
      </w:tr>
    </w:tbl>
    <w:p>
      <w:pPr>
        <w:pStyle w:val="Heading2"/>
        <w:spacing w:after="100" w:before="220"/>
      </w:pPr>
      <w:r>
        <w:rPr>
          <w:rFonts w:ascii="Aptos" w:cs="Aptos" w:eastAsia="Aptos" w:hAnsi="Aptos"/>
          <w:b/>
          <w:bCs/>
          <w:color w:val="1B3A5C"/>
          <w:sz w:val="26"/>
          <w:szCs w:val="26"/>
        </w:rPr>
        <w:t xml:space="preserve">4. Relationship Notes</w:t>
      </w:r>
    </w:p>
    <w:p>
      <w:pPr>
        <w:spacing w:after="120" w:before="0"/>
      </w:pPr>
      <w:r>
        <w:rPr>
          <w:rFonts w:ascii="Aptos" w:cs="Aptos" w:eastAsia="Aptos" w:hAnsi="Aptos"/>
          <w:b w:val="false"/>
          <w:bCs w:val="false"/>
          <w:i w:val="false"/>
          <w:iCs w:val="false"/>
          <w:sz w:val="24"/>
          <w:szCs w:val="24"/>
        </w:rPr>
        <w:t xml:space="preserve">Traffic between segments is denied by default. The dispatch and admin VLANs reach the internet only through the firewall on 443, and the guest Wi-Fi is internet-only and fully isolated. The ESInet enters through SBC-01 to the firewall. This diagram was last verified against the Master Asset Inventory on 2026-02-16, separate from the document review date. The Firewall Ruleset Documentation carries the as-built rules and the Network Segmentation Design Document sets the intended zoning.</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One page is enough: a simple diagram showing the internet or ESInet link, the firewall, the dispatch and admin segments, and the CAD and phone systems. Update it whenever the network changes and re-verify once a year.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color w:val="1B3A5C"/>
                <w:sz w:val="24"/>
                <w:szCs w:val="24"/>
              </w:rPr>
              <w:t xml:space="preserve">Source Authority</w:t>
            </w:r>
          </w:p>
          <w:p>
            <w:pPr>
              <w:spacing w:after="40" w:before="0"/>
            </w:pPr>
            <w:r>
              <w:rPr>
                <w:rFonts w:ascii="Aptos" w:cs="Aptos" w:eastAsia="Aptos" w:hAnsi="Aptos"/>
                <w:sz w:val="24"/>
                <w:szCs w:val="24"/>
              </w:rPr>
              <w:t xml:space="preserve">NENA-STA-040.2-2024: §6.7.3, §6.9, §6.11, §6.13</w:t>
            </w:r>
          </w:p>
          <w:p>
            <w:pPr>
              <w:spacing w:after="40" w:before="0"/>
            </w:pPr>
            <w:r>
              <w:rPr>
                <w:rFonts w:ascii="Aptos" w:cs="Aptos" w:eastAsia="Aptos" w:hAnsi="Aptos"/>
                <w:sz w:val="24"/>
                <w:szCs w:val="24"/>
              </w:rPr>
              <w:t xml:space="preserve">NIST SP 800-53 Rev. 5: AC-4, CA-3, CA-9, PL-8, SC-7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Tracy Holloway</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Tracy Holloway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County IT Contact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Marcus Reed</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Marcus Reed</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2026-02-16</w:t>
            </w:r>
          </w:p>
        </w:tc>
      </w:tr>
    </w:tbl>
    <w:p>
      <w:pPr>
        <w:pStyle w:val="Heading2"/>
        <w:spacing w:after="100" w:before="220"/>
      </w:pPr>
      <w:r>
        <w:rPr>
          <w:rFonts w:ascii="Aptos" w:cs="Aptos" w:eastAsia="Aptos" w:hAnsi="Aptos"/>
          <w:b/>
          <w:bCs/>
          <w:color w:val="1B3A5C"/>
          <w:sz w:val="26"/>
          <w:szCs w:val="26"/>
        </w:rPr>
        <w:t xml:space="preserve">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2026-02-16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Marcus Reed</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adoption</w:t>
            </w:r>
          </w:p>
        </w:tc>
      </w:tr>
    </w:tbl>
    <w:p>
      <w:pPr>
        <w:spacing w:after="60"/>
      </w:pPr>
    </w:p>
    <w:sectPr>
      <w:headerReference w:type="default" r:id="rId7"/>
      <w:footerReference w:type="default" r:id="rId8"/>
      <w:headerReference w:type="first" r:id="rId10"/>
      <w:headerReference w:type="even"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hickory.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t xml:space="preserve"/>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2026-06-01T15:29:11.495Z</dcterms:created>
  <dcterms:modified xsi:type="dcterms:W3CDTF">2026-06-01T15:29:11.495Z</dcterms:modified>
</cp:coreProperties>
</file>

<file path=docProps/custom.xml><?xml version="1.0" encoding="utf-8"?>
<Properties xmlns="http://schemas.openxmlformats.org/officeDocument/2006/custom-properties" xmlns:vt="http://schemas.openxmlformats.org/officeDocument/2006/docPropsVTypes"/>
</file>