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Patch Testing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Hickory County 911 under the authority of Tracy Holloway,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2026-02-16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    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2027-02-16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County IT Contact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procedure sets out how operating-system, firmware, and application updates are tested in a non-production environment before they reach live dispatch systems. It confirms each update is authentic before installation and intact after deployment, so a bad or tampered update does not disrupt 9-1-1 service.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Applies to: the County IT contact and the Director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Covers: operating-system, firmware, and application updates for dispatch and production systems, including session border controllers and other specialized gear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Excludes: emergency changes, which follow the Emergency Change Procedures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Prerequisites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A non-production or test environment kept separate from live dispatch systems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The current patch sources and the vendor signature or hash references used to check authenticity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authorization under the Change Management Policy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Procedure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280"/>
        <w:gridCol w:w="200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Step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Responsible role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Obtain the update from a trusted, authenticated source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authenticity: check the publisher signature or compare the vendor-published hash before installing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Apply the update on a spare, non-production machine (no separate lab)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Test core function and stability: call handling, CAD, and mapping as applicable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/ dispatch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test result and obtain change approval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/ Director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Deploy to production during an approved maintenance window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Verify post-deployment integrity with a hash check and review logs for errors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6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outcome in the Patch Management Schedule &amp; Tracking Log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Verification Criteria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Every update is authenticity-checked before installation and integrity-verified by hash after deployment; the test result and post-deployment log review are recorded before the change is closed.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Related Documents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Change Management Policy; Patch Management Schedule &amp; Tracking Log; Configuration Drift Detection Records; Log Integrity Verification Procedures.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separate lab is expected. Test a critical update on one non-production machine or a spare, confirm the vendor signature first, and keep a fast rollback such as an image or restore point. The county or vendor IT contact runs it and records the result.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NENA-STA-040.2-2024: §5.2, §5.5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sz w:val="24"/>
                <w:szCs w:val="24"/>
              </w:rPr>
              <w:t xml:space="preserve">NIST SP 800-53 Rev. 5: CM-3, CM-4, CM-14, SI-2, SI-7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2026-02-16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County IT Contact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Marcus Reed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Marcus Reed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Marcus Reed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headerReference w:type="first" r:id="rId10"/>
      <w:headerReference w:type="even" r:id="rId11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  <w:t xml:space="preserve"/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2026-06-01T15:29:11.455Z</dcterms:created>
  <dcterms:modified xsi:type="dcterms:W3CDTF">2026-06-01T15:29:11.455Z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