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Third-Party Risk Assessment Records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Assessment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2026-06-15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  Assessor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County IT Administrator (internal); CAD and ESInet reviewed at renewal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Scope: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Hickory County 911 hosted and managed providers; 2026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Director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Hickory County 911 relies on two hosted providers: its CAD vendor and its ESInet provider. Both were reviewed in 2026 against their security attestations. One finding, the CAD vendor's breach-notification window, is open with a committed fix. Between reviews the county monitors both by vendor attestations and advisories.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Providers Assessed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Service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Hosting model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Data classification handled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Overall risk rating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CAD vendor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Hosted computer-aided dispatch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cloud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CJI and incident 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ESInet 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9-1-1 call delivery (ESInet)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managed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Call-handling metadata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3800"/>
        <w:gridCol w:w="1400"/>
        <w:gridCol w:w="316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Provider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Vendor remediation commitment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CAD vendor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Contract breach-notification window is 30 days, longer than the county standard of 5 business days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Renegotiate the notification clause at renewal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agreed to 10 business days, pending a contract amendment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Remediation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Add the shorter notification clause at contract renewal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2026-11-30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 progress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Continuous Monitoring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Monitoring method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Frequency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Last check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CAD vendor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 vendor security attestation; vendor advisories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2026-06-10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ESInet provider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Provider status page and advisories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Annual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2026-06-12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or two providers (CAD, ESInet). A short written review per provider at onboarding and renewal, the vendor’s own security attestation on file, and a named point of contact. No tooling required.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NENA-STA-040.2-2024: §5.2, §5.6, §10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NIST SP 800-53 Rev. 5: CA-7, SA-9, SR-6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/>
                <w:bCs/>
                <w:i/>
                <w:iCs/>
                <w:sz w:val="24"/>
                <w:szCs w:val="24"/>
              </w:rPr>
              <w:t xml:space="preserve">CJIS Security Policy v5.9: §5.1  (CJIS-regulated data in scope, where a provider handles it)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Administrator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Marcus Reed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Marcus Reed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2026-06-15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2026-06-15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2026-06-15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Administrator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headerReference w:type="first" r:id="rId10"/>
      <w:headerReference w:type="even" r:id="rId11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hicko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