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Endpoint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Hickory County 9-1-1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the Hickory County Board of Commissioners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March 2, 2026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March 2,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March 5,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Device class: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General endpoint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Asset ID: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WS-01 to WS-05 (Master Asset Inventory)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System / device: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Dispatch workstations (5)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sz w:val="26"/>
          <w:szCs w:val="26"/>
        </w:rPr>
        <w:t xml:space="preserve">1. Hardening Checklist</w:t>
      </w:r>
    </w:p>
    <w:p>
      <w:pPr>
        <w:spacing w:after="140"/>
      </w:pPr>
      <w:r>
        <w:rPr>
          <w:rFonts w:ascii="Aptos" w:hAnsi="Aptos" w:cs="Aptos"/>
          <w:sz w:val="24"/>
          <w:szCs w:val="24"/>
        </w:rPr>
        <w:t xml:space="preserve">Every device completes Band 1A. Email servers also complete Band 1B. VoIP, SIP/RTP, and multimedia-ingestion servers also complete Band 1C. Items in a band that does not apply are marked NA.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1A. General Endpoint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Unnecessary services, ports, and protocols are disabled (least functionality).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Unused services and ports disabled in the county IT build.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Default and sample accounts are removed or disabled, and default passwords are changed.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 default or sample accounts; local admin renamed.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Anti-malware or EDR is installed, running, and current (recorded in the Endpoint Security Software Inventory).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Vendor A AV, definitions current (see Endpoint Security Software Inventory).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host firewall is enabled and set to the approved baseline.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Windows Defender Firewall on, baseline profile.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screen locks after 15 minutes of inactivity and requires re-authentication.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GPO enforces a 15-minute lock.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operating system and applications are patched to the current approved level.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Monthly county IT patch cycle; current.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Full-disk encryption is enabled on devices that hold or access sensitive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 of 5 encrypted; WS-04 and WS-05 scheduled (R-2026-014).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Automatic script and macro execution is restricted (for example, blocked Office macros, no removable-media autorun).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Office macros blocked; removable-media autorun disabled.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configuration matches the System Configuration Baselines for this device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Built to the System Configuration Baselines.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1B. Email-Server Hardening (email servers and gateways)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is published and enforced for the Agency’s sending domains.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Not applicable: email is county-hosted (Microsoft 365); no on-prem mail server.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is enabled and the keys are valid.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is published with an enforcing policy (quarantine or reject).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is required for inbound and outbound mail transport.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Open relay is disabled and authentication is required to send.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is enabled and current.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1C. VoIP / Multimedia-Server Hardening (VoIP, SIP/RTP, multimedia-ingestion servers)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signaling is encrypted (SIP over TLS) where the platform and providers support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Not applicable: CAD and call handling are hosted by the Agency’s CAD/ESInet vendor; no on-prem VoIP server.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Media is encrypted (SRTP) for sensitive call content where supported.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services are limited to required ports and interfaces, and unused codecs and services are disabled.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Inbound file and multimedia handling is sandboxed or filtered (see the Multimedia &amp; File Ingestion Sanitization Procedure).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Administrative interfaces are not exposed to untrusted networks.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Boundary protection (session border controller or equivalent) is in place.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Item 1A-7 is marked N: full-disk encryption is missing on WS-04 and WS-05. Logged in the Risk / Finding Register as R-2026-014, assigned to County IT, remediation due April 3, 2026. All other items pass.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Run the checklist by hand on each device at setup and at each review; usually the director or county IT completes it. Bands 1B and 1C apply only if the Agency runs its own email or VoIP/multimedia servers, which many small centers do not; mark those NA.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NENA-STA-040.2-2024: §6.19, §6.20, §6.21, §6.23.4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NIST SP 800-53 Rev. 5: CM-2, CM-6, CM-7, SC-8,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March 5,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9-1-1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March 5,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March 5,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completion.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