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Emergency Change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Hickory County 911 under the authority of Tracy Holloway,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w:t>
            </w:r>
            <w:r>
              <w:rPr>
                <w:rFonts w:ascii="Aptos" w:cs="Aptos" w:eastAsia="Aptos" w:hAnsi="Aptos"/>
                <w:b/>
                <w:bCs/>
                <w:sz w:val="24"/>
                <w:szCs w:val="24"/>
              </w:rPr>
              <w:t xml:space="preserve">    Effective Date: </w:t>
            </w:r>
            <w:r>
              <w:rPr>
                <w:rFonts w:ascii="Aptos" w:cs="Aptos" w:eastAsia="Aptos" w:hAnsi="Aptos"/>
                <w:sz w:val="24"/>
                <w:szCs w:val="24"/>
              </w:rPr>
              <w:t xml:space="preserve">2026-02-16</w:t>
            </w:r>
            <w:r>
              <w:rPr>
                <w:rFonts w:ascii="Aptos" w:cs="Aptos" w:eastAsia="Aptos" w:hAnsi="Aptos"/>
                <w:b/>
                <w:bCs/>
                <w:sz w:val="24"/>
                <w:szCs w:val="24"/>
              </w:rPr>
              <w:t xml:space="preserve">    Next Review: </w:t>
            </w:r>
            <w:r>
              <w:rPr>
                <w:rFonts w:ascii="Aptos" w:cs="Aptos" w:eastAsia="Aptos" w:hAnsi="Aptos"/>
                <w:sz w:val="24"/>
                <w:szCs w:val="24"/>
              </w:rPr>
              <w:t xml:space="preserve">2027-02-16</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County IT Contact</w:t>
            </w:r>
          </w:p>
          <w:p>
            <w:pPr>
              <w:spacing w:after="20"/>
            </w:pPr>
            <w:r>
              <w:rPr>
                <w:rFonts w:ascii="Aptos" w:cs="Aptos" w:eastAsia="Aptos" w:hAnsi="Aptos"/>
                <w:b/>
                <w:bCs/>
                <w:sz w:val="24"/>
                <w:szCs w:val="24"/>
              </w:rPr>
              <w:t xml:space="preserve">Classification: </w:t>
            </w:r>
            <w:r>
              <w:rPr>
                <w:rFonts w:ascii="Aptos" w:cs="Aptos" w:eastAsia="Aptos" w:hAnsi="Aptos"/>
                <w:sz w:val="24"/>
                <w:szCs w:val="24"/>
              </w:rPr>
              <w:t xml:space="preserve">Internal</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sets the expedited path for a critical change or patch that cannot wait for the normal change cycle. It names who may authorize an emergency change, what must be documented at the time, and how the change is reconciled back into change management afterward.</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County IT contact and the Director</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critical changes or patches that cannot wait for the normal change cycle, for example an active incident, an imminent outage, or a critical security patch</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routine changes and standing exceptions, which follow the Change Management Policy</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b w:val="false"/>
          <w:bCs w:val="false"/>
          <w:i w:val="false"/>
          <w:iCs w:val="false"/>
          <w:sz w:val="24"/>
          <w:szCs w:val="24"/>
        </w:rPr>
        <w:t xml:space="preserve">The Change Management Policy and its definition of change types</w:t>
      </w:r>
    </w:p>
    <w:p>
      <w:pPr>
        <w:pStyle w:val="ListParagraph"/>
        <w:numPr>
          <w:ilvl w:val="0"/>
          <w:numId w:val="3"/>
        </w:numPr>
        <w:spacing w:after="60"/>
      </w:pPr>
      <w:r>
        <w:rPr>
          <w:rFonts w:ascii="Aptos" w:cs="Aptos" w:eastAsia="Aptos" w:hAnsi="Aptos"/>
          <w:b w:val="false"/>
          <w:bCs w:val="false"/>
          <w:i w:val="false"/>
          <w:iCs w:val="false"/>
          <w:sz w:val="24"/>
          <w:szCs w:val="24"/>
        </w:rPr>
        <w:t xml:space="preserve">A reachable emergency authorizer, the director or IT lead, at all times</w:t>
      </w:r>
    </w:p>
    <w:p>
      <w:pPr>
        <w:pStyle w:val="ListParagraph"/>
        <w:numPr>
          <w:ilvl w:val="0"/>
          <w:numId w:val="3"/>
        </w:numPr>
        <w:spacing w:after="60"/>
      </w:pPr>
      <w:r>
        <w:rPr>
          <w:rFonts w:ascii="Aptos" w:cs="Aptos" w:eastAsia="Aptos" w:hAnsi="Aptos"/>
          <w:b w:val="false"/>
          <w:bCs w:val="false"/>
          <w:i w:val="false"/>
          <w:iCs w:val="false"/>
          <w:sz w:val="24"/>
          <w:szCs w:val="24"/>
        </w:rPr>
        <w:t xml:space="preserve">Access to the Change Request &amp; Approval Log for reconciliation</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280"/>
        <w:gridCol w:w="2000"/>
      </w:tblGrid>
      <w:tr>
        <w:trPr>
          <w:tblHeader/>
        </w:trPr>
        <w:tc>
          <w:tcPr>
            <w:tcW w:type="dxa" w:w="10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62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the change meets the emergency threshold: critical patch, active incident, or imminent outage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Obtain expedited authorization from the Director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 Director</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minimum documentation now: what is changing, why, and who authorized it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Implement the change, with a second-person check where staffing allows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the affected service is restored and stable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 dispatch</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Reconcile into change management: log it in the Change Request &amp; Approval Log within 24 hours with a risk and impact assessment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 the emergency change at the next change review</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 Director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Every emergency change is authorized by the named role, documented at the time, and reconciled into the Change Request &amp; Approval Log within the stated window; the next change review confirms none bypassed the process.</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b w:val="false"/>
          <w:bCs w:val="false"/>
          <w:i w:val="false"/>
          <w:iCs w:val="false"/>
          <w:sz w:val="24"/>
          <w:szCs w:val="24"/>
        </w:rPr>
        <w:t xml:space="preserve">Change Management Policy; Change Request &amp; Approval Log; Patch Testing Procedure; Backup Call-Handling / Dispatch Continuity Procedure.</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authorizes emergency changes and the county or vendor IT contact carries them out. Documentation can be a short note at the time, logged in the change record within a day and reviewed later.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40" w:before="0"/>
            </w:pPr>
            <w:r>
              <w:rPr>
                <w:rFonts w:ascii="Aptos" w:cs="Aptos" w:eastAsia="Aptos" w:hAnsi="Aptos"/>
                <w:sz w:val="24"/>
                <w:szCs w:val="24"/>
              </w:rPr>
              <w:t xml:space="preserve">NENA-STA-040.2-2024: §4.4, §5.5</w:t>
            </w:r>
          </w:p>
          <w:p>
            <w:pPr>
              <w:spacing w:after="40" w:before="0"/>
            </w:pPr>
            <w:r>
              <w:rPr>
                <w:rFonts w:ascii="Aptos" w:cs="Aptos" w:eastAsia="Aptos" w:hAnsi="Aptos"/>
                <w:sz w:val="24"/>
                <w:szCs w:val="24"/>
              </w:rPr>
              <w:t xml:space="preserve">NIST SP 800-53 Rev. 5: CM-3, CM-5, SI-2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Contact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Marcus Reed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Marcus Reed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Marcus Reed</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adoption</w:t>
            </w:r>
          </w:p>
        </w:tc>
      </w:tr>
    </w:tbl>
    <w:p>
      <w:pPr>
        <w:spacing w:after="60"/>
      </w:pPr>
    </w:p>
    <w:sectPr>
      <w:headerReference w:type="default" r:id="rId7"/>
      <w:footerReference w:type="default" r:id="rId8"/>
      <w:headerReference w:type="first" r:id="rId10"/>
      <w:headerReference w:type="even"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hickory.png"/>
                  <pic:cNvPicPr/>
                </pic:nvPicPr>
                <pic:blipFill>
                  <a:blip r:embed="rId1"/>
                  <a:stretch>
                    <a:fillRect/>
                  </a:stretch>
                </pic:blipFill>
                <pic:spPr>
                  <a:xfrm>
                    <a:off x="0" y="0"/>
                    <a:ext cx="822960" cy="82296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t xml:space="preserve"/>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2026-06-01T15:29:11.455Z</dcterms:created>
  <dcterms:modified xsi:type="dcterms:W3CDTF">2026-06-01T15:29:11.455Z</dcterms:modified>
</cp:coreProperties>
</file>

<file path=docProps/custom.xml><?xml version="1.0" encoding="utf-8"?>
<Properties xmlns="http://schemas.openxmlformats.org/officeDocument/2006/custom-properties" xmlns:vt="http://schemas.openxmlformats.org/officeDocument/2006/docPropsVTypes"/>
</file>