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NTP Configuration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2026-04-10    </w:t>
            </w:r>
            <w:r>
              <w:rPr>
                <w:rFonts w:ascii="Aptos" w:cs="Aptos" w:eastAsia="Aptos" w:hAnsi="Aptos"/>
                <w:b/>
                <w:bCs/>
                <w:sz w:val="24"/>
                <w:szCs w:val="24"/>
              </w:rPr>
              <w:t xml:space="preserve">Next Review: </w:t>
            </w:r>
            <w:r>
              <w:rPr>
                <w:rFonts w:ascii="Aptos" w:cs="Aptos" w:eastAsia="Aptos" w:hAnsi="Aptos"/>
                <w:sz w:val="24"/>
                <w:szCs w:val="24"/>
              </w:rPr>
              <w:t xml:space="preserve">2027-04-10</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County IT Administrator</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sz w:val="24"/>
          <w:szCs w:val="24"/>
        </w:rPr>
        <w:t xml:space="preserve">This record documents the Agency’s time synchronization as built: the authoritative time sources, the systems that synchronize to them, the authentication and acceptable drift, and failover. It supports the Logging Policy’s timestamp requirements and is the baseline the Time Synchronization Audit Records verify against. Scope includes servers, network devices, Session Border Controllers, and edge devices.</w:t>
      </w:r>
    </w:p>
    <w:p>
      <w:pPr>
        <w:pStyle w:val="Heading2"/>
        <w:spacing w:after="100" w:before="220"/>
      </w:pPr>
      <w:r>
        <w:rPr>
          <w:rFonts w:ascii="Aptos" w:cs="Aptos" w:eastAsia="Aptos" w:hAnsi="Aptos"/>
          <w:b/>
          <w:bCs/>
          <w:color w:val="1B3A5C"/>
          <w:sz w:val="26"/>
          <w:szCs w:val="26"/>
        </w:rPr>
        <w:t xml:space="preserve">2. Time Sources and Synchronized Systems</w:t>
      </w:r>
    </w:p>
    <w:p>
      <w:pPr>
        <w:spacing w:after="140"/>
      </w:pPr>
      <w:r>
        <w:rPr>
          <w:rFonts w:ascii="Aptos" w:cs="Aptos" w:eastAsia="Aptos" w:hAnsi="Aptos"/>
          <w:b/>
          <w:bCs/>
          <w:sz w:val="24"/>
          <w:szCs w:val="24"/>
        </w:rPr>
        <w:t xml:space="preserve">Authoritative time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Source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Type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Stratum / reference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Authentication</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 NTP service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NTP (GPS-fed)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 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 key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 clock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 reference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w:t>
            </w:r>
          </w:p>
        </w:tc>
      </w:tr>
    </w:tbl>
    <w:p>
      <w:pPr>
        <w:spacing w:after="140"/>
      </w:pPr>
      <w:r>
        <w:rPr>
          <w:rFonts w:ascii="Aptos" w:cs="Aptos" w:eastAsia="Aptos" w:hAnsi="Aptos"/>
          <w:b/>
          <w:bCs/>
          <w:sz w:val="24"/>
          <w:szCs w:val="24"/>
        </w:rPr>
        <w:t xml:space="preserve">Synchronized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or group</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Syncs to</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Poll interval</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Acceptable drift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server and file server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Hourly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1 second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switches and SBC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Hourly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1 second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Workstations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 logon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2 seconds</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NTP service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Enabled on all synchronized hosts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Served from the firewall NTP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 behavior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Automatic to the GPS clock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Holdover a few hours</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drift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1 second for logging hosts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 key on the internal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sz w:val="24"/>
          <w:szCs w:val="24"/>
        </w:rPr>
        <w:t xml:space="preserve">The as-built time synchronization is verified against this record at least quarterly by the County IT Administrator; results are recorded in the Time Synchronization Audit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or two time sources (the firewall or a GPS clock serving NTP), with the handful of servers and the SBC pointed at them. Record the source and the acceptable drift; check it during the periodic time audit.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bCs/>
                <w:i/>
                <w:iCs/>
                <w:sz w:val="24"/>
                <w:szCs w:val="24"/>
              </w:rPr>
              <w:t xml:space="preserve">NENA-STA-040.2-2024: §5.6, §5.6.1</w:t>
            </w:r>
          </w:p>
          <w:p>
            <w:pPr>
              <w:spacing w:after="40" w:before="0"/>
            </w:pPr>
            <w:r>
              <w:rPr>
                <w:rFonts w:ascii="Aptos" w:cs="Aptos" w:eastAsia="Aptos" w:hAnsi="Aptos"/>
                <w:b/>
                <w:bCs/>
                <w:i/>
                <w:iCs/>
                <w:sz w:val="24"/>
                <w:szCs w:val="24"/>
              </w:rPr>
              <w:t xml:space="preserve">NIST SP 800-53 Rev. 5: AU-8, SC-45, SC-45(1)</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2026-04-10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2026-04-10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Administrator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2026-06-01T15:29:11.476Z</dcterms:created>
  <dcterms:modified xsi:type="dcterms:W3CDTF">2026-06-01T15:29:11.476Z</dcterms:modified>
</cp:coreProperties>
</file>

<file path=docProps/custom.xml><?xml version="1.0" encoding="utf-8"?>
<Properties xmlns="http://schemas.openxmlformats.org/officeDocument/2006/custom-properties" xmlns:vt="http://schemas.openxmlformats.org/officeDocument/2006/docPropsVTypes"/>
</file>