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System Redundancy Design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sz w:val="24"/>
              </w:rPr>
              <w:t xml:space="preserve">Authority: </w:t>
            </w:r>
            <w:r>
              <w:rPr>
                <w:rFonts w:ascii="Aptos" w:hAnsi="Aptos" w:cs="Aptos"/>
                <w:b w:val="0"/>
                <w:i w:val="0"/>
                <w:sz w:val="24"/>
              </w:rPr>
              <w:t>Adopted by Hickory County 911 under the authority of Tracy Holloway, 911 Director.</w:t>
            </w:r>
          </w:p>
          <w:p>
            <w:pPr>
              <w:spacing w:after="60"/>
            </w:pPr>
            <w:r>
              <w:rPr>
                <w:rFonts w:ascii="Aptos" w:hAnsi="Aptos" w:cs="Aptos"/>
                <w:b/>
                <w:i w:val="0"/>
                <w:sz w:val="24"/>
              </w:rPr>
              <w:t xml:space="preserve">Version: </w:t>
            </w:r>
            <w:r>
              <w:rPr>
                <w:rFonts w:ascii="Aptos" w:hAnsi="Aptos" w:cs="Aptos"/>
                <w:b w:val="0"/>
                <w:i w:val="0"/>
                <w:sz w:val="24"/>
              </w:rPr>
              <w:t>1.0</w:t>
            </w:r>
            <w:r>
              <w:rPr>
                <w:rFonts w:ascii="Aptos" w:hAnsi="Aptos" w:cs="Aptos"/>
                <w:b/>
                <w:i w:val="0"/>
                <w:sz w:val="24"/>
              </w:rPr>
              <w:t xml:space="preserve">    Effective Date: </w:t>
            </w:r>
            <w:r>
              <w:rPr>
                <w:rFonts w:ascii="Aptos" w:hAnsi="Aptos" w:cs="Aptos"/>
                <w:b w:val="0"/>
                <w:i w:val="0"/>
                <w:sz w:val="24"/>
              </w:rPr>
              <w:t>2026-01-15</w:t>
            </w:r>
            <w:r>
              <w:rPr>
                <w:rFonts w:ascii="Aptos" w:hAnsi="Aptos" w:cs="Aptos"/>
                <w:b/>
                <w:i w:val="0"/>
                <w:sz w:val="24"/>
              </w:rPr>
              <w:t xml:space="preserve">    Next Review: </w:t>
            </w:r>
            <w:r>
              <w:rPr>
                <w:rFonts w:ascii="Aptos" w:hAnsi="Aptos" w:cs="Aptos"/>
                <w:b w:val="0"/>
                <w:i w:val="0"/>
                <w:sz w:val="24"/>
              </w:rPr>
              <w:t>2027-01-15</w:t>
            </w:r>
          </w:p>
          <w:p>
            <w:pPr>
              <w:spacing w:after="60"/>
            </w:pPr>
            <w:r>
              <w:rPr>
                <w:rFonts w:ascii="Aptos" w:hAnsi="Aptos" w:cs="Aptos"/>
                <w:b/>
                <w:i w:val="0"/>
                <w:sz w:val="24"/>
              </w:rPr>
              <w:t xml:space="preserve">Owner: </w:t>
            </w:r>
            <w:r>
              <w:rPr>
                <w:rFonts w:ascii="Aptos" w:hAnsi="Aptos" w:cs="Aptos"/>
                <w:b w:val="0"/>
                <w:i w:val="0"/>
                <w:sz w:val="24"/>
              </w:rPr>
              <w:t>County IT Administrator</w:t>
            </w:r>
          </w:p>
          <w:p>
            <w:pPr>
              <w:spacing w:after="20"/>
            </w:pPr>
            <w:r>
              <w:rPr>
                <w:rFonts w:ascii="Aptos" w:hAnsi="Aptos" w:cs="Aptos"/>
                <w:b/>
                <w:i w:val="0"/>
                <w:sz w:val="24"/>
              </w:rPr>
              <w:t xml:space="preserve">Classification: </w:t>
            </w:r>
            <w:r>
              <w:rPr>
                <w:rFonts w:ascii="Aptos" w:hAnsi="Aptos" w:cs="Aptos"/>
                <w:b w:val="0"/>
                <w:i w:val="0"/>
                <w:sz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document maps Hickory County 911's redundancy. As a small rural center it runs mostly manual fallbacks: one internet carrier with a cellular backup, one CAD platform with a manual call-card fallback, backup portable radios, and UPS-plus-generator power. For each, it records the failover mechanism so a single failure does not stop call handling.</w:t>
      </w:r>
    </w:p>
    <w:p>
      <w:pPr>
        <w:pStyle w:val="Heading2"/>
        <w:spacing w:after="100" w:before="220"/>
      </w:pPr>
      <w:r>
        <w:rPr>
          <w:rFonts w:ascii="Aptos" w:cs="Aptos" w:eastAsia="Aptos" w:hAnsi="Aptos"/>
          <w:b/>
          <w:bCs/>
          <w:color w:val="1B3A5C"/>
          <w:sz w:val="26"/>
          <w:szCs w:val="26"/>
        </w:rPr>
        <w:t xml:space="preserve">2.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20"/>
              <w:jc w:val="center"/>
            </w:pPr>
            <w:r>
              <w:drawing>
                <wp:inline xmlns:a="http://schemas.openxmlformats.org/drawingml/2006/main" xmlns:pic="http://schemas.openxmlformats.org/drawingml/2006/picture">
                  <wp:extent cx="5760720" cy="2733901"/>
                  <wp:docPr id="1" name="Picture 1"/>
                  <wp:cNvGraphicFramePr>
                    <a:graphicFrameLocks noChangeAspect="1"/>
                  </wp:cNvGraphicFramePr>
                  <a:graphic>
                    <a:graphicData uri="http://schemas.openxmlformats.org/drawingml/2006/picture">
                      <pic:pic>
                        <pic:nvPicPr>
                          <pic:cNvPr id="0" name="a143-hickory-redundancy.png"/>
                          <pic:cNvPicPr/>
                        </pic:nvPicPr>
                        <pic:blipFill>
                          <a:blip r:embed="rId10"/>
                          <a:stretch>
                            <a:fillRect/>
                          </a:stretch>
                        </pic:blipFill>
                        <pic:spPr>
                          <a:xfrm>
                            <a:off x="0" y="0"/>
                            <a:ext cx="5760720" cy="2733901"/>
                          </a:xfrm>
                          <a:prstGeom prst="rect"/>
                        </pic:spPr>
                      </pic:pic>
                    </a:graphicData>
                  </a:graphic>
                </wp:inline>
              </w:drawing>
            </w:r>
          </w:p>
        </w:tc>
      </w:tr>
    </w:tbl>
    <w:p>
      <w:pPr>
        <w:pStyle w:val="Heading2"/>
        <w:spacing w:after="100" w:before="220"/>
      </w:pPr>
      <w:r>
        <w:rPr>
          <w:rFonts w:ascii="Aptos" w:cs="Aptos" w:eastAsia="Aptos" w:hAnsi="Aptos"/>
          <w:b/>
          <w:bCs/>
          <w:color w:val="1B3A5C"/>
          <w:sz w:val="26"/>
          <w:szCs w:val="26"/>
        </w:rPr>
        <w:t>3. Redundant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360"/>
        <w:gridCol w:w="2400"/>
        <w:gridCol w:w="2400"/>
      </w:tblGrid>
      <w:tr>
        <w:trPr>
          <w:tblHeader/>
        </w:trPr>
        <w:tc>
          <w:tcPr>
            <w:tcW w:type="dxa" w:w="2592"/>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Service / component</w:t>
            </w:r>
          </w:p>
        </w:tc>
        <w:tc>
          <w:tcPr>
            <w:tcW w:type="dxa" w:w="3456"/>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Primary and diverse counterpart</w:t>
            </w:r>
          </w:p>
        </w:tc>
        <w:tc>
          <w:tcPr>
            <w:tcW w:type="dxa" w:w="1872"/>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Failover mechanism (auto / manual)</w:t>
            </w:r>
          </w:p>
        </w:tc>
        <w:tc>
          <w:tcPr>
            <w:tcW w:type="dxa" w:w="14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Expected shift time</w:t>
            </w:r>
          </w:p>
        </w:tc>
      </w:tr>
      <w:tr>
        <w:tc>
          <w:tcPr>
            <w:tcW w:type="dxa" w:w="259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Internet / ESInet path</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Single carrier (primary); cellular / wireless backup</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Manual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~5 min</w:t>
            </w:r>
          </w:p>
        </w:tc>
      </w:tr>
      <w:tr>
        <w:tc>
          <w:tcPr>
            <w:tcW w:type="dxa" w:w="259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Call routing / CPE</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Single CPE; no hot standby (vendor restore)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Manual</w:t>
            </w:r>
          </w:p>
        </w:tc>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vendor-dependent</w:t>
            </w:r>
          </w:p>
        </w:tc>
      </w:tr>
      <w:tr>
        <w:tc>
          <w:tcPr>
            <w:tcW w:type="dxa" w:w="2600"/>
          </w:tcPr>
          <w:p>
            <w:r>
              <w:rPr>
                <w:rFonts w:ascii="Aptos" w:hAnsi="Aptos" w:cs="Aptos"/>
                <w:b w:val="0"/>
                <w:i w:val="0"/>
                <w:sz w:val="24"/>
              </w:rPr>
              <w:t>Computer-aided dispatch (CAD)</w:t>
            </w:r>
          </w:p>
        </w:tc>
        <w:tc>
          <w:tcPr>
            <w:tcW w:type="dxa" w:w="4360"/>
          </w:tcPr>
          <w:p>
            <w:r>
              <w:rPr>
                <w:rFonts w:ascii="Aptos" w:hAnsi="Aptos" w:cs="Aptos"/>
                <w:b w:val="0"/>
                <w:i w:val="0"/>
                <w:sz w:val="24"/>
              </w:rPr>
              <w:t>Single CAD; manual call-card fallback</w:t>
            </w:r>
          </w:p>
        </w:tc>
        <w:tc>
          <w:tcPr>
            <w:tcW w:type="dxa" w:w="2400"/>
          </w:tcPr>
          <w:p>
            <w:r>
              <w:rPr>
                <w:rFonts w:ascii="Aptos" w:hAnsi="Aptos" w:cs="Aptos"/>
                <w:b w:val="0"/>
                <w:i w:val="0"/>
                <w:sz w:val="24"/>
              </w:rPr>
              <w:t>Manual</w:t>
            </w:r>
          </w:p>
        </w:tc>
        <w:tc>
          <w:tcPr>
            <w:tcW w:type="dxa" w:w="2400"/>
          </w:tcPr>
          <w:p>
            <w:r>
              <w:rPr>
                <w:rFonts w:ascii="Aptos" w:hAnsi="Aptos" w:cs="Aptos"/>
                <w:b w:val="0"/>
                <w:i w:val="0"/>
                <w:sz w:val="24"/>
              </w:rPr>
              <w:t>immediate (cards)</w:t>
            </w:r>
          </w:p>
        </w:tc>
      </w:tr>
      <w:tr>
        <w:tc>
          <w:tcPr>
            <w:tcW w:type="dxa" w:w="2600"/>
          </w:tcPr>
          <w:p>
            <w:r>
              <w:rPr>
                <w:rFonts w:ascii="Aptos" w:hAnsi="Aptos" w:cs="Aptos"/>
                <w:b w:val="0"/>
                <w:i w:val="0"/>
                <w:sz w:val="24"/>
              </w:rPr>
              <w:t>Radio / dispatch console</w:t>
            </w:r>
          </w:p>
        </w:tc>
        <w:tc>
          <w:tcPr>
            <w:tcW w:type="dxa" w:w="4360"/>
          </w:tcPr>
          <w:p>
            <w:r>
              <w:rPr>
                <w:rFonts w:ascii="Aptos" w:hAnsi="Aptos" w:cs="Aptos"/>
                <w:b w:val="0"/>
                <w:i w:val="0"/>
                <w:sz w:val="24"/>
              </w:rPr>
              <w:t>Primary console; backup portable radios</w:t>
            </w:r>
          </w:p>
        </w:tc>
        <w:tc>
          <w:tcPr>
            <w:tcW w:type="dxa" w:w="2400"/>
          </w:tcPr>
          <w:p>
            <w:r>
              <w:rPr>
                <w:rFonts w:ascii="Aptos" w:hAnsi="Aptos" w:cs="Aptos"/>
                <w:b w:val="0"/>
                <w:i w:val="0"/>
                <w:sz w:val="24"/>
              </w:rPr>
              <w:t>Manual</w:t>
            </w:r>
          </w:p>
        </w:tc>
        <w:tc>
          <w:tcPr>
            <w:tcW w:type="dxa" w:w="2400"/>
          </w:tcPr>
          <w:p>
            <w:r>
              <w:rPr>
                <w:rFonts w:ascii="Aptos" w:hAnsi="Aptos" w:cs="Aptos"/>
                <w:b w:val="0"/>
                <w:i w:val="0"/>
                <w:sz w:val="24"/>
              </w:rPr>
              <w:t>immediate</w:t>
            </w:r>
          </w:p>
        </w:tc>
      </w:tr>
    </w:tbl>
    <w:p>
      <w:pPr>
        <w:pStyle w:val="Heading2"/>
        <w:spacing w:after="100" w:before="220"/>
      </w:pPr>
      <w:r>
        <w:rPr>
          <w:rFonts w:ascii="Aptos" w:cs="Aptos" w:eastAsia="Aptos" w:hAnsi="Aptos"/>
          <w:b/>
          <w:bCs/>
          <w:color w:val="1B3A5C"/>
          <w:sz w:val="26"/>
          <w:szCs w:val="26"/>
        </w:rPr>
        <w:t>4. Diversity &amp; Failover Notes</w:t>
      </w:r>
    </w:p>
    <w:p>
      <w:pPr>
        <w:spacing w:after="120" w:before="0"/>
      </w:pPr>
      <w:r>
        <w:rPr>
          <w:rFonts w:ascii="Aptos" w:cs="Aptos" w:eastAsia="Aptos" w:hAnsi="Aptos"/>
          <w:b w:val="false"/>
          <w:bCs w:val="false"/>
          <w:i w:val="false"/>
          <w:iCs w:val="false"/>
          <w:sz w:val="24"/>
          <w:szCs w:val="24"/>
        </w:rPr>
        <w:t>Hickory County 911 has limited redundancy and no second facility. The single carrier, single CPE, and single CAD are known single points of failure and are carried into the Single-Point-of-Failure Assessment Record. The cellular internet failover and the manual CAD fallback are tested each year and recorded in the Failover Test Records. Certificates are held by the CAD and ESInet vendors; their renewal is tracked with the Certificate Inventory so a failover keeps valid certificates.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Redundancy is basic but real: a second carrier or a wireless backup for internet, a documented manual fallback for CAD, and a backup radio console. Test the failover once a year and keep the result.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Source Authority</w:t>
            </w:r>
          </w:p>
          <w:p>
            <w:pPr>
              <w:spacing w:after="40" w:before="0"/>
            </w:pPr>
            <w:r>
              <w:rPr>
                <w:rFonts w:ascii="Aptos" w:hAnsi="Aptos" w:cs="Aptos"/>
                <w:b w:val="0"/>
                <w:i w:val="0"/>
                <w:sz w:val="24"/>
              </w:rPr>
              <w:t>NENA-STA-040.2-2024: §5.3, §6.14, §6.15</w:t>
            </w:r>
          </w:p>
          <w:p>
            <w:pPr>
              <w:spacing w:after="40" w:before="0"/>
            </w:pPr>
            <w:r>
              <w:rPr>
                <w:rFonts w:ascii="Aptos" w:hAnsi="Aptos" w:cs="Aptos"/>
                <w:b w:val="0"/>
                <w:i w:val="0"/>
                <w:sz w:val="24"/>
              </w:rPr>
              <w:t>NIST SP 800-53 Rev. 5: CP-2, CP-7, CP-8</w:t>
            </w:r>
          </w:p>
          <w:p>
            <w:pPr>
              <w:spacing w:after="40" w:before="0"/>
            </w:pPr>
            <w:r>
              <w:rPr>
                <w:rFonts w:ascii="Aptos" w:hAnsi="Aptos" w:cs="Aptos"/>
                <w:b w:val="0"/>
                <w:i w:val="0"/>
                <w:sz w:val="24"/>
              </w:rPr>
              <w:t>Indiana statutes and administrative code:</w:t>
            </w:r>
          </w:p>
          <w:p>
            <w:pPr>
              <w:spacing w:after="0" w:before="0"/>
            </w:pPr>
            <w:r>
              <w:rPr>
                <w:rFonts w:ascii="Aptos" w:hAnsi="Aptos" w:cs="Aptos"/>
                <w:b w:val="0"/>
                <w:i w:val="0"/>
                <w:sz w:val="24"/>
              </w:rPr>
              <w:t xml:space="preserve">    IC 36-8-16.7: Statewide 9-1-1 Services (redundancy)</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County IT Administrator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Marcus Reed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Marcus Reed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2026-01-15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County IT Administrator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hickory-seal.png"/>
                  <pic:cNvPicPr/>
                </pic:nvPicPr>
                <pic:blipFill>
                  <a:blip r:embed="rId1"/>
                  <a:stretch>
                    <a:fillRect/>
                  </a:stretch>
                </pic:blipFill>
                <pic:spPr>
                  <a:xfrm>
                    <a:off x="0" y="0"/>
                    <a:ext cx="822960" cy="822960"/>
                  </a:xfrm>
                  <a:prstGeom prst="rect"/>
                </pic:spPr>
              </pic:pic>
            </a:graphicData>
          </a:graphic>
        </wp:inline>
      </w:drawing>
    </w:r>
  </w:p>
  <w:p>
    <w:pPr>
      <w:pBdr>
        <w:bottom w:val="single" w:color="1B3A5C" w:sz="6" w:space="2"/>
      </w:pBdr>
      <w:jc w:val="right"/>
    </w:pP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2026-06-01T15:29:11.495Z</dcterms:created>
  <dcterms:modified xsi:type="dcterms:W3CDTF">2026-06-01T15:29:11.495Z</dcterms:modified>
</cp:coreProperties>
</file>

<file path=docProps/custom.xml><?xml version="1.0" encoding="utf-8"?>
<Properties xmlns="http://schemas.openxmlformats.org/officeDocument/2006/custom-properties" xmlns:vt="http://schemas.openxmlformats.org/officeDocument/2006/docPropsVTypes"/>
</file>