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Backup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Policy artifacts. Your agency may raise this but not lower it. Append “ / CJIS” if CJIS-regulated data is in scope. Raise to Restricted if this policy embeds specific operational configuration or response logic.»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policy sets what the Agency backs up, how often, how long copies are kept, and how backup media is protected and stored. Replace every [BRACKETED] field, follow the « » guidance,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Keep the body director-readable. The backup job schedule and the list of backup media and storage locations live in the Backup Schedule &amp; Media Inventory, not in this policy.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«Two or three sentences: what this policy governs and why the Agency maintains it. Name the outcome, not the activity.»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[Agency Name] backs up its critical data so the center can recover from equipment failure, ransomware, accidental deletion, or loss of a facility. It sets what is backed up, how often, how long copies are kept, and how backup media is protected, and it names the role accountable for backups.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and what the policy covers, and what it excludes. State exclusions explicitly.»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Agency personnel and any county or vendor IT responsible for backing up or restoring Agency systems and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all critical Agency data identified in the Master Asset Inventory and Asset Criticality Ranking Matrix, including call recordings, dispatch and CAD logs, and databases.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[systems another agency owns and backs up under a separate agreement. If none, state none].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«Optional. Include only terms this policy uses with a narrower meaning than common usage. Do not define common operational terms (CAD, RMS, ESInet, dispatcher). Delete this section if not needed.»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Critical data: the Agency data whose loss would stop or degrade 9-1-1 call handling or dispatch, as identified in the Asset Criticality Ranking Matrix, including call recordings, dispatch and CAD logs, and operational databases.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Immutable backup: a backup copy stored so it cannot be altered or deleted for a set retention period, using write-once media or locked cloud storage.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enforceable core, as numbered statements. Use “The Agency shall…” / “Personnel are responsible for…”. One requirement per statement.»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back up all critical data identified in the Master Asset Inventory and Asset Criticality Ranking Matrix.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run backups often enough to meet the recovery point objectives set in the RTO/RPO Documentation, and shall record the schedule in the Backup Schedule &amp; Media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backup copies for a defined retention period that meets operational and legal needs, consistent with the Data Retention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encrypt backup media at rest, following the Encryption Standards Document.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keep at least one backup copy isolated from the systems it protects, using immutable or write-once storage where available, so a single failure or ransomware event cannot destroy both the systems and their backups.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store at least one backup copy off-site or off-system, separated from the primary location it protects.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Agency shall verify backups through integrity checks and confirm they can be restored, as recorded in the Restoration Test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Where backup sets contain criminal justice or personally identifiable information, the Agency shall apply the media-protection and encryption handling required by the CJIS Security Policy and the Data Classification Policy to those copies and their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>The [Director / Coordinator] owns the Agency's backups, confirms this policy is followed, and is accountable for backup and recovery readiness.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role that carries a duty under this policy and what it owns. Roles, not names.»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[Director / Coordinator]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Owns this policy and the Agency's backups. Confirms backups run, are protected, and can be restored. Approves the retention period and any exception.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[IT support (county / vendor / in-house)]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Configures and runs backup jobs, protects and stores backup media, and performs restoration tests. Keeps the Backup Schedule &amp; Media Inventory and Restoration Test Records current.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Save Agency records to backed-up systems and storage, not to local or personal devices, so their work is captured by Agency backups.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compliance is monitored and what happens on violation. Reference the Agency’s corrective process; do not restate it.»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[Director / Coordinator] monitors compliance with this policy. A backup that is missing, unprotected, or unverified is recorded as a finding in the Risk / Finding Register. Violations are handled under the [personnel / corrective-action process].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«Who may grant an exception, how it is requested and recorded, and how long it lasts before review.»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Exceptions require written approval from the [Director / Coordinator]. A request must state the data or system affected, the reason, the compensating protection, and an expiry date. Exceptions are reviewed at least [annually].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«Review cadence and trigger events (annual at minimum; also on significant change). Name the owning role.»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[annually] and after any significant change to the Agency's systems, data, or recovery objectives, by the [Director / Coordinator].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Adopt this policy as written. A minimum-viable setup is one encrypted external drive rotated off-site plus one cloud copy, with the director confirming a restore works at least once a year. County or vendor IT runs the jobs.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runs scheduled backups to encrypted on-prem and cloud storage, keeps the media inventory current, and tests a restore on a set cadence. A named coordinator owns the schedule.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Backups run to immutable, geo-distributed storage from a system of record, with automated integrity checks, monitored job status, and scheduled restore drills across critical systems.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§5.7, §5.7.2, §5.7.2.1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CP-6, CP-9, CP-10, MP-5, SC-28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§5.8 (Media Protection; where backup sets contain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Confirm before finalizing: (1) the owning role for backups at your agency; (2) the retention period, which must reconcile with the Data Retention Schedule; (3) whether any backup set contains CJIS-regulated data, which triggers the CJIS media-protection handling shown in the Source Authority.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2026-06-01T15:29:11.401Z</dcterms:created>
  <dcterms:modified xsi:type="dcterms:W3CDTF">2026-06-01T15:29:11.401Z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