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Account Provisioning &amp; Deprovisioning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t>
            </w:r>
            <w:r>
              <w:rPr>
                <w:rFonts w:ascii="Aptos" w:cs="Aptos" w:eastAsia="Aptos" w:hAnsi="Aptos"/>
                <w:b/>
                <w:bCs/>
                <w:sz w:val="24"/>
                <w:szCs w:val="24"/>
              </w:rPr>
              <w:t xml:space="preserve">[Agency Name]</w:t>
            </w:r>
            <w:r>
              <w:rPr>
                <w:rFonts w:ascii="Aptos" w:cs="Aptos" w:eastAsia="Aptos" w:hAnsi="Aptos"/>
                <w:sz w:val="24"/>
                <w:szCs w:val="24"/>
              </w:rPr>
              <w:t xml:space="preserve"> under the authority of </w:t>
            </w:r>
            <w:r>
              <w:rPr>
                <w:rFonts w:ascii="Aptos" w:cs="Aptos" w:eastAsia="Aptos" w:hAnsi="Aptos"/>
                <w:b/>
                <w:bCs/>
                <w:sz w:val="24"/>
                <w:szCs w:val="24"/>
              </w:rPr>
              <w:t xml:space="preserve">[signing official / title]</w:t>
            </w:r>
            <w:r>
              <w:rPr>
                <w:rFonts w:ascii="Aptos" w:cs="Aptos" w:eastAsia="Aptos" w:hAnsi="Aptos"/>
                <w:sz w:val="24"/>
                <w:szCs w:val="24"/>
              </w:rPr>
              <w:t xml:space="preserve">.</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    </w:t>
            </w:r>
            <w:r>
              <w:rPr>
                <w:rFonts w:ascii="Aptos" w:cs="Aptos" w:eastAsia="Aptos" w:hAnsi="Aptos"/>
                <w:b/>
                <w:bCs/>
                <w:sz w:val="24"/>
                <w:szCs w:val="24"/>
              </w:rPr>
              <w:t xml:space="preserve">Effective Date: </w:t>
            </w:r>
            <w:r>
              <w:rPr>
                <w:rFonts w:ascii="Aptos" w:cs="Aptos" w:eastAsia="Aptos" w:hAnsi="Aptos"/>
                <w:sz w:val="24"/>
                <w:szCs w:val="24"/>
              </w:rPr>
              <w:t xml:space="preserve">[Date]    </w:t>
            </w:r>
            <w:r>
              <w:rPr>
                <w:rFonts w:ascii="Aptos" w:cs="Aptos" w:eastAsia="Aptos" w:hAnsi="Aptos"/>
                <w:b/>
                <w:bCs/>
                <w:sz w:val="24"/>
                <w:szCs w:val="24"/>
              </w:rPr>
              <w:t xml:space="preserve">Next Review: </w:t>
            </w:r>
            <w:r>
              <w:rPr>
                <w:rFonts w:ascii="Aptos" w:cs="Aptos" w:eastAsia="Aptos" w:hAnsi="Aptos"/>
                <w:sz w:val="24"/>
                <w:szCs w:val="24"/>
              </w:rPr>
              <w:t xml:space="preserve">[Date]</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[Role title]   </w:t>
            </w:r>
            <w:r>
              <w:rPr>
                <w:rFonts w:ascii="Aptos" w:cs="Aptos" w:eastAsia="Aptos" w:hAnsi="Aptos"/>
                <w:i/>
                <w:iCs/>
                <w:color w:val="595959"/>
                <w:sz w:val="24"/>
                <w:szCs w:val="24"/>
              </w:rPr>
              <w:t xml:space="preserve">«use a role, not a person’s name.»</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Internal / CJIS</w:t>
            </w:r>
          </w:p>
          <w:p>
            <w:pPr>
              <w:spacing w:after="60"/>
            </w:pPr>
            <w:r>
              <w:rPr>
                <w:rFonts w:ascii="Aptos" w:cs="Aptos" w:eastAsia="Aptos" w:hAnsi="Aptos"/>
                <w:i/>
                <w:iCs/>
                <w:color w:val="595959"/>
                <w:sz w:val="24"/>
                <w:szCs w:val="24"/>
              </w:rPr>
              <w:t xml:space="preserve">«Minimum for Procedure artifacts. The / CJIS marker covers IDACS operator-account provisioning; remove it and the CJIS Handling note if the Agency provisions no IDACS or CJIS-regulated accounts. Your agency may raise this floor but not lower 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procedure accomplishes and when it is performed. One or two sentences.»</w:t>
      </w:r>
    </w:p>
    <w:p>
      <w:pPr>
        <w:spacing w:after="120" w:before="0"/>
      </w:pPr>
      <w:r>
        <w:rPr>
          <w:rFonts w:ascii="Aptos" w:cs="Aptos" w:eastAsia="Aptos" w:hAnsi="Aptos"/>
          <w:sz w:val="24"/>
          <w:szCs w:val="24"/>
        </w:rPr>
        <w:t xml:space="preserve">This procedure defines how the Agency requests, approves, creates, changes, and disables accounts across its systems, so access is granted only when authorized and removed promptly when no longer needed. It is HR-aligned and runs from the Account Provisioning &amp; Deprovisioning Checklist.</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«What the procedure covers and excludes; which systems or roles it applies to.»</w:t>
      </w:r>
    </w:p>
    <w:p>
      <w:pPr>
        <w:pStyle w:val="ListParagraph"/>
        <w:numPr>
          <w:ilvl w:val="0"/>
          <w:numId w:val="2"/>
        </w:numPr>
        <w:spacing w:after="60"/>
      </w:pPr>
      <w:r>
        <w:rPr>
          <w:rFonts w:ascii="Aptos" w:cs="Aptos" w:eastAsia="Aptos" w:hAnsi="Aptos"/>
          <w:sz w:val="24"/>
          <w:szCs w:val="24"/>
        </w:rPr>
        <w:t xml:space="preserve">Applies to: IT support and the roles that request and approve access; all personnel who hold or grant access.</w:t>
      </w:r>
    </w:p>
    <w:p>
      <w:pPr>
        <w:pStyle w:val="ListParagraph"/>
        <w:numPr>
          <w:ilvl w:val="0"/>
          <w:numId w:val="2"/>
        </w:numPr>
        <w:spacing w:after="60"/>
      </w:pPr>
      <w:r>
        <w:rPr>
          <w:rFonts w:ascii="Aptos" w:cs="Aptos" w:eastAsia="Aptos" w:hAnsi="Aptos"/>
          <w:sz w:val="24"/>
          <w:szCs w:val="24"/>
        </w:rPr>
        <w:t xml:space="preserve">Covers: user, remote, guest, temporary, vendor, and service accounts across Agency systems, including IDACS operator accounts.</w:t>
      </w:r>
    </w:p>
    <w:p>
      <w:pPr>
        <w:pStyle w:val="ListParagraph"/>
        <w:numPr>
          <w:ilvl w:val="0"/>
          <w:numId w:val="2"/>
        </w:numPr>
        <w:spacing w:after="60"/>
      </w:pPr>
      <w:r>
        <w:rPr>
          <w:rFonts w:ascii="Aptos" w:cs="Aptos" w:eastAsia="Aptos" w:hAnsi="Aptos"/>
          <w:sz w:val="24"/>
          <w:szCs w:val="24"/>
        </w:rPr>
        <w:t xml:space="preserve">Excludes: changes made solely by the provider on hosted services the Agency does not administer. [State any local exclusions.]</w:t>
      </w:r>
    </w:p>
    <w:p>
      <w:pPr>
        <w:pStyle w:val="Heading2"/>
        <w:spacing w:after="100" w:before="220"/>
      </w:pPr>
      <w:r>
        <w:rPr>
          <w:rFonts w:ascii="Aptos" w:cs="Aptos" w:eastAsia="Aptos" w:hAnsi="Aptos"/>
          <w:b/>
          <w:bCs/>
          <w:color w:val="1B3A5C"/>
          <w:sz w:val="26"/>
          <w:szCs w:val="26"/>
        </w:rPr>
        <w:t xml:space="preserve">3. Prerequisites</w:t>
      </w:r>
    </w:p>
    <w:p>
      <w:pPr>
        <w:spacing w:after="140"/>
      </w:pPr>
      <w:r>
        <w:rPr>
          <w:rFonts w:ascii="Aptos" w:cs="Aptos" w:eastAsia="Aptos" w:hAnsi="Aptos"/>
          <w:i/>
          <w:iCs/>
          <w:color w:val="595959"/>
          <w:sz w:val="24"/>
          <w:szCs w:val="24"/>
        </w:rPr>
        <w:t xml:space="preserve">«What must be true or in hand before starting: access, tools, approvals, prior steps.»</w:t>
      </w:r>
    </w:p>
    <w:p>
      <w:pPr>
        <w:pStyle w:val="ListParagraph"/>
        <w:numPr>
          <w:ilvl w:val="0"/>
          <w:numId w:val="3"/>
        </w:numPr>
        <w:spacing w:after="60"/>
      </w:pPr>
      <w:r>
        <w:rPr>
          <w:rFonts w:ascii="Aptos" w:cs="Aptos" w:eastAsia="Aptos" w:hAnsi="Aptos"/>
          <w:sz w:val="24"/>
          <w:szCs w:val="24"/>
        </w:rPr>
        <w:t xml:space="preserve">The Access Control Policy and role definitions (Access Entitlement Matrix) are in force.</w:t>
      </w:r>
    </w:p>
    <w:p>
      <w:pPr>
        <w:pStyle w:val="ListParagraph"/>
        <w:numPr>
          <w:ilvl w:val="0"/>
          <w:numId w:val="3"/>
        </w:numPr>
        <w:spacing w:after="60"/>
      </w:pPr>
      <w:r>
        <w:rPr>
          <w:rFonts w:ascii="Aptos" w:cs="Aptos" w:eastAsia="Aptos" w:hAnsi="Aptos"/>
          <w:sz w:val="24"/>
          <w:szCs w:val="24"/>
        </w:rPr>
        <w:t xml:space="preserve">An HR or supervisor trigger (hire, role change, or separation) initiates the workflow.</w:t>
      </w:r>
    </w:p>
    <w:p>
      <w:pPr>
        <w:pStyle w:val="ListParagraph"/>
        <w:numPr>
          <w:ilvl w:val="0"/>
          <w:numId w:val="3"/>
        </w:numPr>
        <w:spacing w:after="60"/>
      </w:pPr>
      <w:r>
        <w:rPr>
          <w:rFonts w:ascii="Aptos" w:cs="Aptos" w:eastAsia="Aptos" w:hAnsi="Aptos"/>
          <w:sz w:val="24"/>
          <w:szCs w:val="24"/>
        </w:rPr>
        <w:t xml:space="preserve">IT has the access needed to create and disable accounts on each system.</w:t>
      </w:r>
    </w:p>
    <w:p>
      <w:pPr>
        <w:pStyle w:val="Heading2"/>
        <w:spacing w:after="100" w:before="220"/>
      </w:pPr>
      <w:r>
        <w:rPr>
          <w:rFonts w:ascii="Aptos" w:cs="Aptos" w:eastAsia="Aptos" w:hAnsi="Aptos"/>
          <w:b/>
          <w:bCs/>
          <w:color w:val="1B3A5C"/>
          <w:sz w:val="26"/>
          <w:szCs w:val="26"/>
        </w:rPr>
        <w:t xml:space="preserve">4. Procedure Steps</w:t>
      </w:r>
    </w:p>
    <w:p>
      <w:pPr>
        <w:spacing w:after="140"/>
      </w:pPr>
      <w:r>
        <w:rPr>
          <w:rFonts w:ascii="Aptos" w:cs="Aptos" w:eastAsia="Aptos" w:hAnsi="Aptos"/>
          <w:i/>
          <w:iCs/>
          <w:color w:val="595959"/>
          <w:sz w:val="24"/>
          <w:szCs w:val="24"/>
        </w:rPr>
        <w:t xml:space="preserve">«Steps in execution order. One action per step. Name the responsible role per step. Plain English.»</w:t>
      </w:r>
    </w:p>
    <w:p>
      <w:pPr>
        <w:spacing w:after="140"/>
      </w:pPr>
      <w:r>
        <w:rPr>
          <w:rFonts w:ascii="Aptos" w:cs="Aptos" w:eastAsia="Aptos" w:hAnsi="Aptos"/>
          <w:b/>
          <w:bCs/>
          <w:sz w:val="24"/>
          <w:szCs w:val="24"/>
        </w:rPr>
        <w:t xml:space="preserve">Provisioning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HR or the supervisor submits an access request naming the person, role, start date, and systems.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Supervisor / HR</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[approving authority] approves the request against the Access Entitlement Matrix (least privilege).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authority</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creates accounts on the approved systems and records them on the Account Provisioning &amp; Deprovisioning Checklist.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sets initial credentials and MFA per the Password &amp; Authentication Policy and confirms access with the user.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person-to-role assignment is recorded in the Account-to-Role Assignment Register.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bl>
    <w:p>
      <w:pPr>
        <w:spacing w:after="140"/>
      </w:pPr>
      <w:r>
        <w:rPr>
          <w:rFonts w:ascii="Aptos" w:cs="Aptos" w:eastAsia="Aptos" w:hAnsi="Aptos"/>
          <w:b/>
          <w:bCs/>
          <w:sz w:val="24"/>
          <w:szCs w:val="24"/>
        </w:rPr>
        <w:t xml:space="preserve">Change (role change or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supervisor submits a change request when a person’s role changes.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Supervisor</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adjusts entitlements to the new role and removes access no longer needed, within [number] business days.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updates the Account-to-Role Assignment Register and the checklist.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bl>
    <w:p>
      <w:pPr>
        <w:spacing w:after="140"/>
      </w:pPr>
      <w:r>
        <w:rPr>
          <w:rFonts w:ascii="Aptos" w:cs="Aptos" w:eastAsia="Aptos" w:hAnsi="Aptos"/>
          <w:b/>
          <w:bCs/>
          <w:sz w:val="24"/>
          <w:szCs w:val="24"/>
        </w:rPr>
        <w:t xml:space="preserve">Deprovisioning (offboarding)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HR or the supervisor notifies IT of a separation or end of engagement, with the effective date and time.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Supervisor / HR</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disables the person’s accounts across all systems within [number] hours of separation, starting with remote and privileged access.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reclaims tokens, keys, and Agency-owned devices, and revokes vendor or guest accounts tied to the person.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records the deprovisioning on the checklist and confirms completion to the supervisor.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bl>
    <w:p>
      <w:pPr>
        <w:spacing w:after="140"/>
      </w:pPr>
      <w:r>
        <w:rPr>
          <w:rFonts w:ascii="Aptos" w:cs="Aptos" w:eastAsia="Aptos" w:hAnsi="Aptos"/>
          <w:b/>
          <w:bCs/>
          <w:sz w:val="24"/>
          <w:szCs w:val="24"/>
        </w:rPr>
        <w:t xml:space="preserve">Inactivity automation</w:t>
      </w:r>
    </w:p>
    <w:p>
      <w:pPr>
        <w:spacing w:after="140"/>
      </w:pPr>
      <w:r>
        <w:rPr>
          <w:rFonts w:ascii="Aptos" w:cs="Aptos" w:eastAsia="Aptos" w:hAnsi="Aptos"/>
          <w:sz w:val="24"/>
          <w:szCs w:val="24"/>
        </w:rPr>
        <w:t xml:space="preserve">The Agency detects accounts unused for [number] days and disables them automatically on a set schedule. [Name the tool, or the manual report and cadence.] Automated disablement is logged and the account owner’s supervisor is notified. Accounts that must stay enabled despite inactivity (for example break-glass or seasonal accounts) are documented as exceptions and reviewed at each account certification.</w:t>
      </w:r>
    </w:p>
    <w:p>
      <w:pPr>
        <w:pStyle w:val="Heading2"/>
        <w:spacing w:after="100" w:before="220"/>
      </w:pPr>
      <w:r>
        <w:rPr>
          <w:rFonts w:ascii="Aptos" w:cs="Aptos" w:eastAsia="Aptos" w:hAnsi="Aptos"/>
          <w:b/>
          <w:bCs/>
          <w:color w:val="1B3A5C"/>
          <w:sz w:val="26"/>
          <w:szCs w:val="26"/>
        </w:rPr>
        <w:t xml:space="preserve">5. Verification Criteria</w:t>
      </w:r>
    </w:p>
    <w:p>
      <w:pPr>
        <w:spacing w:after="140"/>
      </w:pPr>
      <w:r>
        <w:rPr>
          <w:rFonts w:ascii="Aptos" w:cs="Aptos" w:eastAsia="Aptos" w:hAnsi="Aptos"/>
          <w:i/>
          <w:iCs/>
          <w:color w:val="595959"/>
          <w:sz w:val="24"/>
          <w:szCs w:val="24"/>
        </w:rPr>
        <w:t xml:space="preserve">«How the operator confirms the procedure worked. State the observable result, not the action.»</w:t>
      </w:r>
    </w:p>
    <w:p>
      <w:pPr>
        <w:spacing w:after="120" w:before="0"/>
      </w:pPr>
      <w:r>
        <w:rPr>
          <w:rFonts w:ascii="Aptos" w:cs="Aptos" w:eastAsia="Aptos" w:hAnsi="Aptos"/>
          <w:sz w:val="24"/>
          <w:szCs w:val="24"/>
        </w:rPr>
        <w:t xml:space="preserve">For each request the operator can show the approval, the accounts created or disabled, and the completed checklist. On a sample, disabled accounts can no longer authenticate and no active account belongs to a separated person.</w:t>
      </w:r>
    </w:p>
    <w:p>
      <w:pPr>
        <w:pStyle w:val="Heading2"/>
        <w:spacing w:after="100" w:before="220"/>
      </w:pPr>
      <w:r>
        <w:rPr>
          <w:rFonts w:ascii="Aptos" w:cs="Aptos" w:eastAsia="Aptos" w:hAnsi="Aptos"/>
          <w:b/>
          <w:bCs/>
          <w:color w:val="1B3A5C"/>
          <w:sz w:val="26"/>
          <w:szCs w:val="26"/>
        </w:rPr>
        <w:t xml:space="preserve">6. Related Documents</w:t>
      </w:r>
    </w:p>
    <w:p>
      <w:pPr>
        <w:spacing w:after="140"/>
      </w:pPr>
      <w:r>
        <w:rPr>
          <w:rFonts w:ascii="Aptos" w:cs="Aptos" w:eastAsia="Aptos" w:hAnsi="Aptos"/>
          <w:i/>
          <w:iCs/>
          <w:color w:val="595959"/>
          <w:sz w:val="24"/>
          <w:szCs w:val="24"/>
        </w:rPr>
        <w:t xml:space="preserve">«Reference dependent artifacts by their Tracker name. Point, do not restate.»</w:t>
      </w:r>
    </w:p>
    <w:p>
      <w:pPr>
        <w:spacing w:after="120" w:before="0"/>
      </w:pPr>
      <w:r>
        <w:rPr>
          <w:rFonts w:ascii="Aptos" w:cs="Aptos" w:eastAsia="Aptos" w:hAnsi="Aptos"/>
          <w:sz w:val="24"/>
          <w:szCs w:val="24"/>
        </w:rPr>
        <w:t xml:space="preserve">Access Control Policy; Access Entitlement Matrix; Account-to-Role Assignment Register; Account Provisioning &amp; Deprovisioning Checklist; Password &amp; Authentication Policy; Periodic Account Review / Certification Records.</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director or county IT runs the workflow by hand from the checklist. Disable a departing employee’s accounts the same day; a monthly manual review catches inactive accounts. No identity platform needed.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 runs provisioning against the role matrix, with a defined departure-removal window and a scheduled inactivity report. Deprovisioning of privileged accounts is verified by a second person.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An identity platform automates provisioning and inactivity disablement from an HR feed, with role-based entitlements, logging, and periodic certification. IT confirms high-risk removals manually.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add no padding.</w:t>
            </w:r>
          </w:p>
          <w:p>
            <w:pPr>
              <w:spacing w:after="40" w:before="0"/>
            </w:pPr>
            <w:r>
              <w:rPr>
                <w:rFonts w:ascii="Aptos" w:cs="Aptos" w:eastAsia="Aptos" w:hAnsi="Aptos"/>
                <w:b/>
                <w:bCs/>
                <w:i/>
                <w:iCs/>
                <w:sz w:val="24"/>
                <w:szCs w:val="24"/>
              </w:rPr>
              <w:t xml:space="preserve">NENA-STA-040.2-2024: §6.2, §6.2.1, §6.2.1.4</w:t>
            </w:r>
          </w:p>
          <w:p>
            <w:pPr>
              <w:spacing w:after="40" w:before="0"/>
            </w:pPr>
            <w:r>
              <w:rPr>
                <w:rFonts w:ascii="Aptos" w:cs="Aptos" w:eastAsia="Aptos" w:hAnsi="Aptos"/>
                <w:b/>
                <w:bCs/>
                <w:i/>
                <w:iCs/>
                <w:sz w:val="24"/>
                <w:szCs w:val="24"/>
              </w:rPr>
              <w:t xml:space="preserve">NIST SP 800-53 Rev. 5: AC-2, AC-2(3), IA-4, PS-4, PS-5</w:t>
            </w:r>
          </w:p>
          <w:p>
            <w:pPr>
              <w:spacing w:after="40" w:before="0"/>
            </w:pPr>
            <w:r>
              <w:rPr>
                <w:rFonts w:ascii="Aptos" w:cs="Aptos" w:eastAsia="Aptos" w:hAnsi="Aptos"/>
                <w:b/>
                <w:bCs/>
                <w:i/>
                <w:iCs/>
                <w:sz w:val="24"/>
                <w:szCs w:val="24"/>
              </w:rPr>
              <w:t xml:space="preserve">Indiana statutes and administrative code: 240 IAC 5 (IDACS)</w:t>
            </w:r>
          </w:p>
          <w:p>
            <w:pPr>
              <w:spacing w:after="40" w:before="0"/>
            </w:pPr>
            <w:r>
              <w:rPr>
                <w:rFonts w:ascii="Aptos" w:cs="Aptos" w:eastAsia="Aptos" w:hAnsi="Aptos"/>
                <w:b/>
                <w:bCs/>
                <w:i/>
                <w:iCs/>
                <w:sz w:val="24"/>
                <w:szCs w:val="24"/>
              </w:rPr>
              <w:t xml:space="preserve">CJIS Security Policy v5.9: §5.5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sz w:val="24"/>
                <w:szCs w:val="24"/>
              </w:rPr>
              <w:t xml:space="preserve">Governs the Account Provisioning &amp; Deprovisioning Checklist (the operational tool) and feeds the Periodic Account Review / Certification Records. The person-to-role record is the Account-to-Role Assignment Register; the role-to-privilege lookup is the Access Entitlement Matrix. Point to them; do not restate.</w:t>
            </w:r>
          </w:p>
          <w:p>
            <w:pPr>
              <w:spacing w:after="140"/>
            </w:pPr>
            <w:r>
              <w:rPr>
                <w:rFonts w:ascii="Aptos" w:cs="Aptos" w:eastAsia="Aptos" w:hAnsi="Aptos"/>
                <w:i/>
                <w:iCs/>
                <w:sz w:val="24"/>
                <w:szCs w:val="24"/>
              </w:rPr>
              <w:t xml:space="preserve">Agency-supplied values in brackets: [Agency Name], approving authority, the departure-removal window, the inactivity threshold and schedule, and the tool or manual report used. Remove the / CJIS marker if no IDACS or CJIS-regulated accounts are provisioned.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2026-06-01T15:29:11.455Z</dcterms:created>
  <dcterms:modified xsi:type="dcterms:W3CDTF">2026-06-01T15:29:11.455Z</dcterms:modified>
</cp:coreProperties>
</file>

<file path=docProps/custom.xml><?xml version="1.0" encoding="utf-8"?>
<Properties xmlns="http://schemas.openxmlformats.org/officeDocument/2006/custom-properties" xmlns:vt="http://schemas.openxmlformats.org/officeDocument/2006/docPropsVTypes"/>
</file>