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Secure Disposal Procedures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sz w:val="24"/>
                <w:szCs w:val="24"/>
                <w:i/>
                <w:color w:val="595959"/>
              </w:rPr>
              <w:t xml:space="preserve">«Minimum for this artifact. Your agency may raise this floor but not lower it.»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this procedure accomplishes and when it is performed. One or two sentences.»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This procedure defines how [Agency Name] securely destroys data and storage media at the end of retention, by classification, and decommissions end-of-life hardware and software, so no recoverable Agency data leaves its control. It implements the Data Classification Policy and the Document Handling Standard.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the procedure covers and excludes; which systems or roles it applies to.»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Applies to: IT support and the roles that authorize and carry out disposal, and any vendor that destroys media or decommissions equipment for the Agency.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Covers: data and storage media at every classification, including drives, tapes, removable media, and printed records, and the decommissioning of end-of-life hardware and software.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Excludes: media the State or another agency destroys for systems the Agency does not operate. [State any local exclusions.]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must be true or in hand before starting: access, tools, approvals, prior steps.»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Data Classification Policy, the Document Handling Standard, and the Data Retention Schedule are in force.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Approved destruction methods for each classification and media type are set, and the Data Disposal / Destruction Records exist to capture results.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roles that authorize and perform destruction are assigned.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«Steps in execution order. One action per step. Name the responsible role per step. Plain English.»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Identify and authorize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identifies data or media reaching end of retention (from the Data Retention Schedule) or hardware reaching end of life.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owner authorizes destruction, confirms the item is no longer needed, and records its classification.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[Owner role]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Select method by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selects a destruction method matching the item's classification and media type: cryptographic erase or overwrite for reusable media, physical destruction (shred, degauss) for the most sensitive data or media leaving Agency control.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Where a vendor destroys the media, the Agency uses an approved vendor and obtains a certificate of destruction.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Destroy and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or the approved vendor destroys the data or media by the selected method.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 / vendor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For end-of-life systems, IT removes Agency data, wipes or destroys storage, and records the decommissioning.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records each destruction (item, classification, method, operator, date, and certificate reference where issued) in the Data Disposal / Destruction Records.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the operator confirms the procedure worked. State the observable result, not the action.»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For any disposed item the operator can show the authorization, the method used, and the destruction record, with a certificate of destruction where a vendor performed it. No end-of-life media leaves Agency control with recoverable data on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«Reference dependent artifacts by their Tracker name. Point, do not restate.»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Data Classification Policy; Document Handling Standard; Data Retention Schedule; Data Disposal / Destruction Records; CJIS Data Handling Addendum.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Little media to dispose of. One person wipes or physically destroys a drive when a machine is retired, shreds printed sensitive records, and notes what was done.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 named coordinator runs disposal for the county's shared systems, often using a shredding or destruction vendor and keeping the certificates.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Disposal runs from the asset-decommissioning workflow, with approved methods per classification, vendor certificates, and records reconciled against the retention schedule.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MP-6, MP-6(1), SI-12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The executable side of secure disposal; the by-classification destruction rules are in the Document Handling Standard and the evidence is captured in the Data Disposal / Destruction Records (point, do not restate). Agency-supplied values in brackets: [Agency Name], the authorizing owner role, and the approved methods and vendor. CJIS and IDACS scope: if the items destroyed hold CJIS-regulated data, add CJIS Security Policy v5.9 §5.8.3 and 240 IAC 5 to the Source Authority and apply the CJIS overlay.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2026-06-01T15:29:11.455Z</dcterms:created>
  <dcterms:modified xsi:type="dcterms:W3CDTF">2026-06-01T15:29:11.455Z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