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Standard artifacts. Stays Restricted in most cases. Drop to Internal only when the standard merely references public best practice.»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b w:val="false"/>
          <w:bCs w:val="false"/>
          <w:i w:val="false"/>
          <w:iCs w:val="false"/>
          <w:sz w:val="24"/>
          <w:szCs w:val="24"/>
        </w:rPr>
        <w:t>This standard sets the physical hardening requirements for [Agency Name]'s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[exclusions, if any; if none, write "None."]</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[a defined period]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[annually]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[Director / Coordinator]. The request states the gap, the reason, the compensating controls in place, and a re-evaluation date. Approved deviations are recorded in the Server Room / Equipment Area Hardening Assessment Record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standard is reviewed at least [annually] and after any significant change to the Agency's facilities, equipment, or physical threat environment,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Most equipment sits in one room, often shared with the sheriff's office. Meet the standard with what scales: locked racks, labeled cabling, privacy filters, and auto-lock on every screen. The director checks placement once a year and records any shared-space gap as a deviation with a compensating control.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 a secured equipment room where you can, and have county IT confirm placement, cabling, and locking against this standard on a set cycle. Make display protection a standard build step for every new position.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Maintain formal placement and hardening standards across both centers, with facilities or IT inspecting on a schedule and logging results in the assessment record. Cabling inspection and display protection are part of routine facility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[Owner role] for physical hardening (Facilities, IT support, or the director, depending on the agency); (2) the screen-lock period in Requirement 5 and the placement-review cadence in Requirement 6; (3) the NENA-STA-040.2-2024 sections (6.1.1 Physical Protections, 6.1.4 Transmission Medium, 6.1.5 Display Medium, 6.7.2 Environmental Controls) against the standard in force. No CJIS overlay: CJIS-regulated systems are maintained by the State outside PSAP scope. Cross-referenced artifacts use Tracker names: Physical Access Control Policy, Server Room / Equipment Area Hardening Assessment Record.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