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Security Requirements in Vendor Contracts / SLAs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w:t>
            </w:r>
            <w:r>
              <w:rPr>
                <w:rFonts w:ascii="Aptos" w:cs="Aptos" w:eastAsia="Aptos" w:hAnsi="Aptos"/>
                <w:b/>
                <w:bCs/>
                <w:sz w:val="24"/>
                <w:szCs w:val="24"/>
              </w:rPr>
              <w:t xml:space="preserve">[Agency Name]</w:t>
            </w:r>
            <w:r>
              <w:rPr>
                <w:rFonts w:ascii="Aptos" w:cs="Aptos" w:eastAsia="Aptos" w:hAnsi="Aptos"/>
                <w:sz w:val="24"/>
                <w:szCs w:val="24"/>
              </w:rPr>
              <w:t xml:space="preserve"> under the authority of </w:t>
            </w:r>
            <w:r>
              <w:rPr>
                <w:rFonts w:ascii="Aptos" w:cs="Aptos" w:eastAsia="Aptos" w:hAnsi="Aptos"/>
                <w:b/>
                <w:bCs/>
                <w:sz w:val="24"/>
                <w:szCs w:val="24"/>
              </w:rPr>
              <w:t xml:space="preserve">[signing official / title]</w:t>
            </w:r>
            <w:r>
              <w:rPr>
                <w:rFonts w:ascii="Aptos" w:cs="Aptos" w:eastAsia="Aptos" w:hAnsi="Aptos"/>
                <w:sz w:val="24"/>
                <w:szCs w:val="24"/>
              </w:rPr>
              <w:t xml:space="preserve">.</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    </w:t>
            </w:r>
            <w:r>
              <w:rPr>
                <w:rFonts w:ascii="Aptos" w:cs="Aptos" w:eastAsia="Aptos" w:hAnsi="Aptos"/>
                <w:b/>
                <w:bCs/>
                <w:sz w:val="24"/>
                <w:szCs w:val="24"/>
              </w:rPr>
              <w:t xml:space="preserve">Effective Date: </w:t>
            </w:r>
            <w:r>
              <w:rPr>
                <w:rFonts w:ascii="Aptos" w:cs="Aptos" w:eastAsia="Aptos" w:hAnsi="Aptos"/>
                <w:sz w:val="24"/>
                <w:szCs w:val="24"/>
              </w:rPr>
              <w:t xml:space="preserve">[Date]    </w:t>
            </w:r>
            <w:r>
              <w:rPr>
                <w:rFonts w:ascii="Aptos" w:cs="Aptos" w:eastAsia="Aptos" w:hAnsi="Aptos"/>
                <w:b/>
                <w:bCs/>
                <w:sz w:val="24"/>
                <w:szCs w:val="24"/>
              </w:rPr>
              <w:t xml:space="preserve">Next Review: </w:t>
            </w:r>
            <w:r>
              <w:rPr>
                <w:rFonts w:ascii="Aptos" w:cs="Aptos" w:eastAsia="Aptos" w:hAnsi="Aptos"/>
                <w:sz w:val="24"/>
                <w:szCs w:val="24"/>
              </w:rPr>
              <w:t xml:space="preserve">[Date]</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[Role title]   </w:t>
            </w:r>
            <w:r>
              <w:rPr>
                <w:rFonts w:ascii="Aptos" w:cs="Aptos" w:eastAsia="Aptos" w:hAnsi="Aptos"/>
                <w:i/>
                <w:iCs/>
                <w:color w:val="595959"/>
                <w:sz w:val="24"/>
                <w:szCs w:val="24"/>
              </w:rPr>
              <w:t xml:space="preserve">«use a role, not a person’s name.»</w:t>
            </w:r>
          </w:p>
          <w:p>
            <w:pPr>
              <w:spacing w:after="60"/>
            </w:pPr>
            <w:r>
              <w:rPr>
                <w:rFonts w:ascii="Aptos" w:cs="Aptos" w:eastAsia="Aptos" w:hAnsi="Aptos"/>
                <w:b/>
                <w:bCs/>
                <w:sz w:val="24"/>
                <w:szCs w:val="24"/>
              </w:rPr>
              <w:t xml:space="preserve">Classification: </w:t>
            </w:r>
            <w:r>
              <w:rPr>
                <w:rFonts w:ascii="Aptos" w:cs="Aptos" w:eastAsia="Aptos" w:hAnsi="Aptos"/>
                <w:sz w:val="24"/>
                <w:szCs w:val="24"/>
              </w:rPr>
              <w:t xml:space="preserve">Internal</w:t>
            </w:r>
          </w:p>
          <w:p>
            <w:pPr>
              <w:spacing w:after="60"/>
            </w:pPr>
            <w:r>
              <w:rPr>
                <w:rFonts w:ascii="Aptos" w:cs="Aptos" w:eastAsia="Aptos" w:hAnsi="Aptos"/>
                <w:i/>
                <w:iCs/>
                <w:color w:val="595959"/>
                <w:sz w:val="24"/>
                <w:szCs w:val="24"/>
              </w:rPr>
              <w:t xml:space="preserve">«Minimum for Standard artifacts. Append the “ / CJIS” marker and apply the CJIS Handling requirement below where the vendor contract covers CJIS-regulated data, reached in Indiana through IDACS. Your agency may raise this floor but not lower 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 xml:space="preserve">This template is ready to adopt. Replace every [BRACKETED] field with your agency’s information, follow the « » guidance notes,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«What this standard prescribes and the policy it implements. A Standard states what must be true; it governs behavior.»</w:t>
      </w:r>
    </w:p>
    <w:p>
      <w:pPr>
        <w:spacing w:after="120" w:before="0"/>
      </w:pPr>
      <w:r>
        <w:rPr>
          <w:rFonts w:ascii="Aptos" w:cs="Aptos" w:eastAsia="Aptos" w:hAnsi="Aptos"/>
          <w:sz w:val="24"/>
          <w:szCs w:val="24"/>
        </w:rPr>
        <w:t xml:space="preserve">This standard sets the security, privacy, and service-level requirements the Agency places in any contract or service-level agreement for a hosted or managed service. It states what every such contract must contain and is applied whenever the Agency procures, renews, or renegotiates one.</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«What and who the standard binds; which systems or data it applies to.»</w:t>
      </w:r>
    </w:p>
    <w:p>
      <w:pPr>
        <w:pStyle w:val="ListParagraph"/>
        <w:numPr>
          <w:ilvl w:val="0"/>
          <w:numId w:val="2"/>
        </w:numPr>
        <w:spacing w:after="60"/>
      </w:pPr>
      <w:r>
        <w:rPr>
          <w:rFonts w:ascii="Aptos" w:cs="Aptos" w:eastAsia="Aptos" w:hAnsi="Aptos"/>
          <w:sz w:val="24"/>
          <w:szCs w:val="24"/>
        </w:rPr>
        <w:t xml:space="preserve">Applies to: all contracts, subscriptions, and SLAs for hosted or externally managed systems that store, transmit, or process Agency data (for example CAD, GIS, VoIP, cloud storage, and remote support).</w:t>
      </w:r>
    </w:p>
    <w:p>
      <w:pPr>
        <w:pStyle w:val="ListParagraph"/>
        <w:numPr>
          <w:ilvl w:val="0"/>
          <w:numId w:val="2"/>
        </w:numPr>
        <w:spacing w:after="60"/>
      </w:pPr>
      <w:r>
        <w:rPr>
          <w:rFonts w:ascii="Aptos" w:cs="Aptos" w:eastAsia="Aptos" w:hAnsi="Aptos"/>
          <w:sz w:val="24"/>
          <w:szCs w:val="24"/>
        </w:rPr>
        <w:t xml:space="preserve">Implements: Cybersecurity &amp; Privacy Policy; IT Support Accountability Agreement (SLA / MOU).</w:t>
      </w:r>
    </w:p>
    <w:p>
      <w:pPr>
        <w:pStyle w:val="ListParagraph"/>
        <w:numPr>
          <w:ilvl w:val="0"/>
          <w:numId w:val="2"/>
        </w:numPr>
        <w:spacing w:after="60"/>
      </w:pPr>
      <w:r>
        <w:rPr>
          <w:rFonts w:ascii="Aptos" w:cs="Aptos" w:eastAsia="Aptos" w:hAnsi="Aptos"/>
          <w:sz w:val="24"/>
          <w:szCs w:val="24"/>
        </w:rPr>
        <w:t xml:space="preserve">Excludes: one-time purchases of goods with no ongoing access to Agency data. [State any local exclusions.]</w:t>
      </w:r>
    </w:p>
    <w:p>
      <w:pPr>
        <w:pStyle w:val="Heading2"/>
        <w:spacing w:after="100" w:before="220"/>
      </w:pPr>
      <w:r>
        <w:rPr>
          <w:rFonts w:ascii="Aptos" w:cs="Aptos" w:eastAsia="Aptos" w:hAnsi="Aptos"/>
          <w:b/>
          <w:bCs/>
          <w:color w:val="1B3A5C"/>
          <w:sz w:val="26"/>
          <w:szCs w:val="26"/>
        </w:rPr>
        <w:t xml:space="preserve">3. Requirements</w:t>
      </w:r>
    </w:p>
    <w:p>
      <w:pPr>
        <w:spacing w:after="140"/>
      </w:pPr>
      <w:r>
        <w:rPr>
          <w:rFonts w:ascii="Aptos" w:cs="Aptos" w:eastAsia="Aptos" w:hAnsi="Aptos"/>
          <w:i/>
          <w:iCs/>
          <w:color w:val="595959"/>
          <w:sz w:val="24"/>
          <w:szCs w:val="24"/>
        </w:rPr>
        <w:t xml:space="preserve">«The binding requirements, as numbered statements. Each must be testable. Use “The Agency shall…”.»</w:t>
      </w:r>
    </w:p>
    <w:p>
      <w:pPr>
        <w:spacing w:after="120" w:before="0"/>
      </w:pPr>
      <w:r>
        <w:rPr>
          <w:rFonts w:ascii="Aptos" w:cs="Aptos" w:eastAsia="Aptos" w:hAnsi="Aptos"/>
          <w:sz w:val="24"/>
          <w:szCs w:val="24"/>
        </w:rPr>
        <w:t xml:space="preserve">1. Data protection: the contract shall require the provider to protect Agency data at rest and in transit to the Agency’s Encryption Standards, and to use Agency data only to deliver the contracted service.</w:t>
      </w:r>
    </w:p>
    <w:p>
      <w:pPr>
        <w:spacing w:after="120" w:before="0"/>
      </w:pPr>
      <w:r>
        <w:rPr>
          <w:rFonts w:ascii="Aptos" w:cs="Aptos" w:eastAsia="Aptos" w:hAnsi="Aptos"/>
          <w:sz w:val="24"/>
          <w:szCs w:val="24"/>
        </w:rPr>
        <w:t xml:space="preserve">2. Inventory and configuration accuracy: the provider shall maintain an accurate inventory of the systems and data in scope and notify the Agency of material changes to them.</w:t>
      </w:r>
    </w:p>
    <w:p>
      <w:pPr>
        <w:spacing w:after="120" w:before="0"/>
      </w:pPr>
      <w:r>
        <w:rPr>
          <w:rFonts w:ascii="Aptos" w:cs="Aptos" w:eastAsia="Aptos" w:hAnsi="Aptos"/>
          <w:sz w:val="24"/>
          <w:szCs w:val="24"/>
        </w:rPr>
        <w:t xml:space="preserve">3. Change notification: the provider shall notify the Agency in advance of changes affecting security, data handling, or availability, within [number] business days.</w:t>
      </w:r>
    </w:p>
    <w:p>
      <w:pPr>
        <w:spacing w:after="120" w:before="0"/>
      </w:pPr>
      <w:r>
        <w:rPr>
          <w:rFonts w:ascii="Aptos" w:cs="Aptos" w:eastAsia="Aptos" w:hAnsi="Aptos"/>
          <w:sz w:val="24"/>
          <w:szCs w:val="24"/>
        </w:rPr>
        <w:t xml:space="preserve">4. Breach and incident reporting: the provider shall report suspected or confirmed security incidents affecting Agency data without undue delay and no later than [number] business days after discovery.</w:t>
      </w:r>
    </w:p>
    <w:p>
      <w:pPr>
        <w:spacing w:after="120" w:before="0"/>
      </w:pPr>
      <w:r>
        <w:rPr>
          <w:rFonts w:ascii="Aptos" w:cs="Aptos" w:eastAsia="Aptos" w:hAnsi="Aptos"/>
          <w:sz w:val="24"/>
          <w:szCs w:val="24"/>
        </w:rPr>
        <w:t xml:space="preserve">5. Audit and assurance: the contract shall grant the Agency the right to verify the provider’s security through evidence such as SOC 2 reports, questionnaires, or audit, at least [annually].</w:t>
      </w:r>
    </w:p>
    <w:p>
      <w:pPr>
        <w:spacing w:after="120" w:before="0"/>
      </w:pPr>
      <w:r>
        <w:rPr>
          <w:rFonts w:ascii="Aptos" w:cs="Aptos" w:eastAsia="Aptos" w:hAnsi="Aptos"/>
          <w:sz w:val="24"/>
          <w:szCs w:val="24"/>
        </w:rPr>
        <w:t xml:space="preserve">6. Service levels: the contract shall state measurable service levels (availability, response, and restoration targets) and the remedies for missing them.</w:t>
      </w:r>
    </w:p>
    <w:p>
      <w:pPr>
        <w:spacing w:after="120" w:before="0"/>
      </w:pPr>
      <w:r>
        <w:rPr>
          <w:rFonts w:ascii="Aptos" w:cs="Aptos" w:eastAsia="Aptos" w:hAnsi="Aptos"/>
          <w:sz w:val="24"/>
          <w:szCs w:val="24"/>
        </w:rPr>
        <w:t xml:space="preserve">7. Subcontractors and supply chain: the provider shall disclose subcontractors with access to Agency data and hold them to equivalent requirements.</w:t>
      </w:r>
    </w:p>
    <w:p>
      <w:pPr>
        <w:spacing w:after="120" w:before="0"/>
      </w:pPr>
      <w:r>
        <w:rPr>
          <w:rFonts w:ascii="Aptos" w:cs="Aptos" w:eastAsia="Aptos" w:hAnsi="Aptos"/>
          <w:sz w:val="24"/>
          <w:szCs w:val="24"/>
        </w:rPr>
        <w:t xml:space="preserve">8. Return and destruction: on termination the provider shall return or destroy Agency data on a defined timeline and certify destruction, per the Document Handling Standard.</w:t>
      </w:r>
    </w:p>
    <w:p>
      <w:pPr>
        <w:spacing w:after="120" w:before="0"/>
      </w:pPr>
      <w:r>
        <w:rPr>
          <w:rFonts w:ascii="Aptos" w:cs="Aptos" w:eastAsia="Aptos" w:hAnsi="Aptos"/>
          <w:sz w:val="24"/>
          <w:szCs w:val="24"/>
        </w:rPr>
        <w:t xml:space="preserve">9. CJIS handling: where the service stores, processes, or transmits CJIS-regulated data (reached in Indiana through IDACS), the contract shall bind the provider to the CJIS Security Policy and incorporate the CJIS Data Handling Addendum.</w:t>
      </w:r>
    </w:p>
    <w:p>
      <w:pPr>
        <w:pStyle w:val="Heading2"/>
        <w:spacing w:after="100" w:before="220"/>
      </w:pPr>
      <w:r>
        <w:rPr>
          <w:rFonts w:ascii="Aptos" w:cs="Aptos" w:eastAsia="Aptos" w:hAnsi="Aptos"/>
          <w:b/>
          <w:bCs/>
          <w:color w:val="1B3A5C"/>
          <w:sz w:val="26"/>
          <w:szCs w:val="26"/>
        </w:rPr>
        <w:t xml:space="preserve">4. Approved and Prohibited</w:t>
      </w:r>
    </w:p>
    <w:p>
      <w:pPr>
        <w:spacing w:after="140"/>
      </w:pPr>
      <w:r>
        <w:rPr>
          <w:rFonts w:ascii="Aptos" w:cs="Aptos" w:eastAsia="Aptos" w:hAnsi="Aptos"/>
          <w:i/>
          <w:iCs/>
          <w:color w:val="595959"/>
          <w:sz w:val="24"/>
          <w:szCs w:val="24"/>
        </w:rPr>
        <w:t xml:space="preserve">«The floor and the red lines for vendor contract terms: the minimum a contract must contain, and the terms the Agency will not accept. Adjust the examples to your procurement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 acceptable term</w:t>
            </w:r>
          </w:p>
        </w:tc>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Not acceptable</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Encryption at rest and in transit to the Agency’s Encryption Standards (e.g., AES-256, TLS 1.2+)</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Storage or transmission of Agency data with no encryption</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Breach notification within a defined short window (e.g., 5 business days) and documented audit or annual assurance (e.g., SOC 2)</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 breach-notification duty, or no right to verify the provider’s security</w:t>
            </w:r>
          </w:p>
        </w:tc>
      </w:tr>
    </w:tbl>
    <w:p>
      <w:pPr>
        <w:pStyle w:val="Heading2"/>
        <w:spacing w:after="100" w:before="220"/>
      </w:pPr>
      <w:r>
        <w:rPr>
          <w:rFonts w:ascii="Aptos" w:cs="Aptos" w:eastAsia="Aptos" w:hAnsi="Aptos"/>
          <w:b/>
          <w:bCs/>
          <w:color w:val="1B3A5C"/>
          <w:sz w:val="26"/>
          <w:szCs w:val="26"/>
        </w:rPr>
        <w:t xml:space="preserve">5. Deviation Process</w:t>
      </w:r>
    </w:p>
    <w:p>
      <w:pPr>
        <w:spacing w:after="140"/>
      </w:pPr>
      <w:r>
        <w:rPr>
          <w:rFonts w:ascii="Aptos" w:cs="Aptos" w:eastAsia="Aptos" w:hAnsi="Aptos"/>
          <w:i/>
          <w:iCs/>
          <w:color w:val="595959"/>
          <w:sz w:val="24"/>
          <w:szCs w:val="24"/>
        </w:rPr>
        <w:t xml:space="preserve">«Who may approve a deviation, how it is requested and recorded, and how long it lasts before review.»</w:t>
      </w:r>
    </w:p>
    <w:p>
      <w:pPr>
        <w:spacing w:after="120" w:before="0"/>
      </w:pPr>
      <w:r>
        <w:rPr>
          <w:rFonts w:ascii="Aptos" w:cs="Aptos" w:eastAsia="Aptos" w:hAnsi="Aptos"/>
          <w:sz w:val="24"/>
          <w:szCs w:val="24"/>
        </w:rPr>
        <w:t xml:space="preserve">A deviation (for example, a vendor that will not accept a required clause) shall be requested in writing, risk-assessed, approved by the [authorizing official], recorded in the Risk / Finding Register, and reviewed at renewal.</w:t>
      </w:r>
    </w:p>
    <w:p>
      <w:pPr>
        <w:pStyle w:val="Heading2"/>
        <w:spacing w:after="100" w:before="220"/>
      </w:pPr>
      <w:r>
        <w:rPr>
          <w:rFonts w:ascii="Aptos" w:cs="Aptos" w:eastAsia="Aptos" w:hAnsi="Aptos"/>
          <w:b/>
          <w:bCs/>
          <w:color w:val="1B3A5C"/>
          <w:sz w:val="26"/>
          <w:szCs w:val="26"/>
        </w:rPr>
        <w:t xml:space="preserve">6. Review Schedule</w:t>
      </w:r>
    </w:p>
    <w:p>
      <w:pPr>
        <w:spacing w:after="140"/>
      </w:pPr>
      <w:r>
        <w:rPr>
          <w:rFonts w:ascii="Aptos" w:cs="Aptos" w:eastAsia="Aptos" w:hAnsi="Aptos"/>
          <w:i/>
          <w:iCs/>
          <w:color w:val="595959"/>
          <w:sz w:val="24"/>
          <w:szCs w:val="24"/>
        </w:rPr>
        <w:t xml:space="preserve">«Review cadence and trigger events (annual at minimum; also on significant change). Name the owning role.»</w:t>
      </w:r>
    </w:p>
    <w:p>
      <w:pPr>
        <w:spacing w:after="120" w:before="0"/>
      </w:pPr>
      <w:r>
        <w:rPr>
          <w:rFonts w:ascii="Aptos" w:cs="Aptos" w:eastAsia="Aptos" w:hAnsi="Aptos"/>
          <w:sz w:val="24"/>
          <w:szCs w:val="24"/>
        </w:rPr>
        <w:t xml:space="preserve">This standard is reviewed at least [annually] and after a significant change in services, providers, or applicable law, by the [Owner role].</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Use these clauses as-is when signing or renewing with your CAD, ESInet, or cloud provider. If the vendor’s standard contract already covers a clause, cite it; if it is missing, request an addendum. County counsel or purchasing can help.</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Keep a standard clause set inserted into every hosted-service contract and tracked at renewal. Collect the vendor’s annual assurance (SOC 2 or questionnaire) and record exceptions in the Risk / Finding Register.</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Run a procurement-security process: standard clauses in every contract, legal review, a vendor risk rating at onboarding, and audit-right exercise on the highest-risk providers.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add no padding.</w:t>
            </w:r>
          </w:p>
          <w:p>
            <w:pPr>
              <w:spacing w:after="40" w:before="0"/>
            </w:pPr>
            <w:r>
              <w:rPr>
                <w:rFonts w:ascii="Aptos" w:cs="Aptos" w:eastAsia="Aptos" w:hAnsi="Aptos"/>
                <w:b/>
                <w:bCs/>
                <w:i/>
                <w:iCs/>
                <w:sz w:val="24"/>
                <w:szCs w:val="24"/>
              </w:rPr>
              <w:t xml:space="preserve">NENA-STA-040.2-2024: §5.2, §10</w:t>
            </w:r>
          </w:p>
          <w:p>
            <w:pPr>
              <w:spacing w:after="40" w:before="0"/>
            </w:pPr>
            <w:r>
              <w:rPr>
                <w:rFonts w:ascii="Aptos" w:cs="Aptos" w:eastAsia="Aptos" w:hAnsi="Aptos"/>
                <w:b/>
                <w:bCs/>
                <w:i/>
                <w:iCs/>
                <w:sz w:val="24"/>
                <w:szCs w:val="24"/>
              </w:rPr>
              <w:t xml:space="preserve">NIST SP 800-53 Rev. 5: CA-3, SA-4, SA-9, SR-3</w:t>
            </w:r>
          </w:p>
          <w:p>
            <w:pPr>
              <w:spacing w:after="40" w:before="0"/>
            </w:pPr>
            <w:r>
              <w:rPr>
                <w:rFonts w:ascii="Aptos" w:cs="Aptos" w:eastAsia="Aptos" w:hAnsi="Aptos"/>
                <w:b/>
                <w:bCs/>
                <w:i/>
                <w:iCs/>
                <w:sz w:val="24"/>
                <w:szCs w:val="24"/>
              </w:rPr>
              <w:t xml:space="preserve">Indiana statutes and administrative code: 240 IAC 5 (IDACS, where a provider reaches CJIS-regulated data)</w:t>
            </w:r>
          </w:p>
          <w:p>
            <w:pPr>
              <w:spacing w:after="40" w:before="0"/>
            </w:pPr>
            <w:r>
              <w:rPr>
                <w:rFonts w:ascii="Aptos" w:cs="Aptos" w:eastAsia="Aptos" w:hAnsi="Aptos"/>
                <w:b/>
                <w:bCs/>
                <w:i/>
                <w:iCs/>
                <w:sz w:val="24"/>
                <w:szCs w:val="24"/>
              </w:rPr>
              <w:t xml:space="preserve">CJIS Security Policy v5.9: §5.1  (CJIS-regulated data in scope, where a provider handles it)</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 official / 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sz w:val="24"/>
                <w:szCs w:val="24"/>
              </w:rPr>
              <w:t xml:space="preserve">Re-typed from Agreement / Form to Standard on 2026-07-13: this is a reusable set of contract requirements (what every vendor contract must contain), not a signed two-party instrument. The Third-Party Access Agreement and the IT Support Accountability Agreement are the signed instruments; the CJIS Data Handling Addendum carries the granular CJIS terms. Point to them; do not restate.</w:t>
            </w:r>
          </w:p>
          <w:p>
            <w:pPr>
              <w:spacing w:after="140"/>
            </w:pPr>
            <w:r>
              <w:rPr>
                <w:rFonts w:ascii="Aptos" w:cs="Aptos" w:eastAsia="Aptos" w:hAnsi="Aptos"/>
                <w:i/>
                <w:iCs/>
                <w:sz w:val="24"/>
                <w:szCs w:val="24"/>
              </w:rPr>
              <w:t xml:space="preserve">The / CJIS marker and requirement 9 apply only where a provider handles CJIS-regulated data, reached in Indiana through IDACS. Agency-supplied values in brackets: [Agency Name], authorizing official, notification windows, review cadence, and local exclusions.</w:t>
            </w:r>
          </w:p>
        </w:tc>
      </w:tr>
    </w:tbl>
    <w:sectPr>
      <w:headerReference w:type="default" r:id="rId7"/>
      <w:footerReference w:type="default" r:id="rId8"/>
      <w:headerReference w:type="first" r:id="rId10"/>
      <w:headerReference w:type="even" r:id="rId11"/>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2"/>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2026-06-01T15:29:11.465Z</dcterms:created>
  <dcterms:modified xsi:type="dcterms:W3CDTF">2026-06-01T15:29:11.465Z</dcterms:modified>
</cp:coreProperties>
</file>

<file path=docProps/custom.xml><?xml version="1.0" encoding="utf-8"?>
<Properties xmlns="http://schemas.openxmlformats.org/officeDocument/2006/custom-properties" xmlns:vt="http://schemas.openxmlformats.org/officeDocument/2006/docPropsVTypes"/>
</file>